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line="240" w:lineRule="auto"/>
        <w:ind w:right="5387"/>
        <w:jc w:val="center"/>
        <w:rPr>
          <w:rFonts w:ascii="Times New Roman" w:eastAsia="Times New Roman" w:hAnsi="Times New Roman" w:cs="GE Jarida Heavy"/>
          <w:b/>
          <w:bCs/>
          <w:sz w:val="10"/>
          <w:szCs w:val="10"/>
          <w:lang w:bidi="ar-EG"/>
        </w:rPr>
      </w:pPr>
      <w:bookmarkStart w:id="0" w:name="_GoBack"/>
      <w:bookmarkEnd w:id="0"/>
      <w:r>
        <w:rPr>
          <w:rFonts w:ascii="Times New Roman" w:eastAsia="Times New Roman" w:hAnsi="Times New Roman" w:cs="GE Jarida Heavy"/>
          <w:b/>
          <w:bCs/>
          <w:noProof/>
          <w:sz w:val="10"/>
          <w:szCs w:val="10"/>
        </w:rPr>
        <w:drawing>
          <wp:anchor distT="0" distB="0" distL="114300" distR="114300" simplePos="0" relativeHeight="251659264" behindDoc="1" locked="0" layoutInCell="1" allowOverlap="1">
            <wp:simplePos x="0" y="0"/>
            <wp:positionH relativeFrom="column">
              <wp:posOffset>4083050</wp:posOffset>
            </wp:positionH>
            <wp:positionV relativeFrom="paragraph">
              <wp:posOffset>0</wp:posOffset>
            </wp:positionV>
            <wp:extent cx="906145" cy="857250"/>
            <wp:effectExtent l="0" t="0" r="8255" b="0"/>
            <wp:wrapTopAndBottom/>
            <wp:docPr id="1" name="Picture 1" descr="Description: Description: Description: http://iqg-quality.com/wp-content/uploads/2015/01/47359a90eed3ee35f2dab5a3c718abb3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escription: Description: http://iqg-quality.com/wp-content/uploads/2015/01/47359a90eed3ee35f2dab5a3c718abb3_X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6145"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pPr>
        <w:spacing w:after="0" w:line="240" w:lineRule="auto"/>
        <w:ind w:right="5387"/>
        <w:jc w:val="center"/>
        <w:rPr>
          <w:rFonts w:ascii="Times New Roman" w:eastAsia="Times New Roman" w:hAnsi="Times New Roman" w:cs="GE Jarida Heavy"/>
          <w:b/>
          <w:bCs/>
          <w:sz w:val="10"/>
          <w:szCs w:val="10"/>
        </w:rPr>
      </w:pPr>
    </w:p>
    <w:p>
      <w:pPr>
        <w:spacing w:after="0" w:line="240" w:lineRule="auto"/>
        <w:ind w:right="5387"/>
        <w:jc w:val="center"/>
        <w:rPr>
          <w:rFonts w:ascii="Times New Roman" w:eastAsia="Times New Roman" w:hAnsi="Times New Roman" w:cs="GE Jarida Heavy"/>
          <w:b/>
          <w:bCs/>
          <w:sz w:val="28"/>
          <w:szCs w:val="28"/>
          <w:rtl/>
        </w:rPr>
      </w:pPr>
      <w:r>
        <w:rPr>
          <w:rFonts w:ascii="Times New Roman" w:eastAsia="Times New Roman" w:hAnsi="Times New Roman" w:cs="GE Jarida Heavy" w:hint="cs"/>
          <w:b/>
          <w:bCs/>
          <w:sz w:val="28"/>
          <w:szCs w:val="28"/>
          <w:rtl/>
        </w:rPr>
        <w:t>كليـــــــــة التربيـــــــــة</w:t>
      </w:r>
    </w:p>
    <w:p>
      <w:pPr>
        <w:spacing w:after="0" w:line="240" w:lineRule="auto"/>
        <w:ind w:right="5387"/>
        <w:jc w:val="center"/>
        <w:rPr>
          <w:rFonts w:ascii="Times New Roman" w:eastAsia="Times New Roman" w:hAnsi="Times New Roman" w:cs="GE Jarida Heavy"/>
          <w:b/>
          <w:bCs/>
          <w:sz w:val="28"/>
          <w:szCs w:val="28"/>
          <w:rtl/>
        </w:rPr>
      </w:pPr>
      <w:r>
        <w:rPr>
          <w:rFonts w:ascii="Times New Roman" w:eastAsia="Times New Roman" w:hAnsi="Times New Roman" w:cs="GE Jarida Heavy" w:hint="cs"/>
          <w:b/>
          <w:bCs/>
          <w:sz w:val="28"/>
          <w:szCs w:val="28"/>
          <w:rtl/>
        </w:rPr>
        <w:t xml:space="preserve">قســـــم المناهج وطرق التدريس وتكنولوجيا التعليم </w:t>
      </w:r>
    </w:p>
    <w:p>
      <w:pPr>
        <w:spacing w:after="0" w:line="240" w:lineRule="auto"/>
        <w:rPr>
          <w:rFonts w:ascii="Arial" w:eastAsia="Times New Roman" w:hAnsi="Arial" w:cs="GE Jarida Heavy"/>
          <w:sz w:val="27"/>
          <w:szCs w:val="27"/>
          <w:rtl/>
          <w:lang w:bidi="ar-EG"/>
        </w:rPr>
      </w:pPr>
    </w:p>
    <w:p>
      <w:pPr>
        <w:bidi w:val="0"/>
        <w:spacing w:before="240" w:after="0" w:line="240" w:lineRule="auto"/>
        <w:ind w:left="-426" w:right="-483"/>
        <w:jc w:val="center"/>
        <w:rPr>
          <w:rFonts w:eastAsia="Times New Roman" w:cs="Simplified Arabic"/>
          <w:b/>
          <w:bCs/>
          <w:sz w:val="40"/>
          <w:szCs w:val="40"/>
          <w:lang w:bidi="ar-EG"/>
        </w:rPr>
      </w:pPr>
      <w:r>
        <w:rPr>
          <w:rFonts w:ascii="Simplified Arabic" w:eastAsia="Times New Roman" w:hAnsi="Simplified Arabic" w:cs="Simplified Arabic"/>
          <w:b/>
          <w:bCs/>
          <w:sz w:val="40"/>
          <w:szCs w:val="40"/>
          <w:rtl/>
          <w:lang w:bidi="ar-EG"/>
        </w:rPr>
        <w:t>برنامج قائم على</w:t>
      </w:r>
      <w:r>
        <w:rPr>
          <w:rFonts w:ascii="Simplified Arabic" w:eastAsia="Times New Roman" w:hAnsi="Simplified Arabic" w:cs="Simplified Arabic" w:hint="cs"/>
          <w:b/>
          <w:bCs/>
          <w:sz w:val="40"/>
          <w:szCs w:val="40"/>
          <w:rtl/>
          <w:lang w:bidi="ar-EG"/>
        </w:rPr>
        <w:t xml:space="preserve"> مبادئ</w:t>
      </w:r>
      <w:r>
        <w:rPr>
          <w:rFonts w:ascii="Simplified Arabic" w:eastAsia="Times New Roman" w:hAnsi="Simplified Arabic" w:cs="Simplified Arabic"/>
          <w:b/>
          <w:bCs/>
          <w:sz w:val="40"/>
          <w:szCs w:val="40"/>
          <w:rtl/>
          <w:lang w:bidi="ar-EG"/>
        </w:rPr>
        <w:t xml:space="preserve"> نظرية التعلم </w:t>
      </w:r>
      <w:r>
        <w:rPr>
          <w:rFonts w:ascii="Simplified Arabic" w:eastAsia="Times New Roman" w:hAnsi="Simplified Arabic" w:cs="Simplified Arabic" w:hint="cs"/>
          <w:b/>
          <w:bCs/>
          <w:sz w:val="40"/>
          <w:szCs w:val="40"/>
          <w:rtl/>
          <w:lang w:bidi="ar-EG"/>
        </w:rPr>
        <w:t>الخبراتي</w:t>
      </w:r>
      <w:r>
        <w:rPr>
          <w:rFonts w:ascii="Simplified Arabic" w:eastAsia="Times New Roman" w:hAnsi="Simplified Arabic" w:cs="Simplified Arabic"/>
          <w:b/>
          <w:bCs/>
          <w:sz w:val="40"/>
          <w:szCs w:val="40"/>
          <w:rtl/>
          <w:lang w:bidi="ar-EG"/>
        </w:rPr>
        <w:t xml:space="preserve"> </w:t>
      </w:r>
      <w:r>
        <w:rPr>
          <w:rFonts w:ascii="Simplified Arabic" w:eastAsia="Times New Roman" w:hAnsi="Simplified Arabic" w:cs="Simplified Arabic" w:hint="cs"/>
          <w:b/>
          <w:bCs/>
          <w:sz w:val="40"/>
          <w:szCs w:val="40"/>
          <w:rtl/>
          <w:lang w:bidi="ar-EG"/>
        </w:rPr>
        <w:t xml:space="preserve">لتنمية الإتجاه نحو الماده </w:t>
      </w:r>
      <w:r>
        <w:rPr>
          <w:rFonts w:ascii="Simplified Arabic" w:eastAsia="Times New Roman" w:hAnsi="Simplified Arabic" w:cs="Simplified Arabic"/>
          <w:b/>
          <w:bCs/>
          <w:sz w:val="40"/>
          <w:szCs w:val="40"/>
          <w:rtl/>
          <w:lang w:bidi="ar-EG"/>
        </w:rPr>
        <w:t>لدى طلاب المرحلة الثانوية</w:t>
      </w:r>
    </w:p>
    <w:p>
      <w:pPr>
        <w:bidi w:val="0"/>
        <w:spacing w:before="240" w:after="0" w:line="240" w:lineRule="auto"/>
        <w:ind w:left="-426" w:right="-483"/>
        <w:jc w:val="center"/>
        <w:rPr>
          <w:rFonts w:ascii="Times New Roman" w:eastAsia="Times New Roman" w:hAnsi="Times New Roman" w:cs="Simplified Arabic"/>
          <w:b/>
          <w:bCs/>
          <w:sz w:val="32"/>
          <w:szCs w:val="32"/>
          <w:lang w:bidi="ar-EG"/>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center"/>
        <w:rPr>
          <w:rFonts w:ascii="Monotype Corsiva" w:eastAsia="Times New Roman" w:hAnsi="Monotype Corsiva" w:cs="Courier New"/>
          <w:b/>
          <w:bCs/>
          <w:color w:val="202124"/>
          <w:sz w:val="36"/>
          <w:szCs w:val="36"/>
        </w:rPr>
      </w:pPr>
      <w:r>
        <w:rPr>
          <w:rFonts w:ascii="Monotype Corsiva" w:eastAsia="Times New Roman" w:hAnsi="Monotype Corsiva" w:cs="Courier New"/>
          <w:b/>
          <w:bCs/>
          <w:color w:val="202124"/>
          <w:sz w:val="36"/>
          <w:szCs w:val="36"/>
        </w:rPr>
        <w:t>A Program Based on The Principles Of Experiential Learning Theory for Developing Attitude Towards TheSubject among Secondary Stage Students</w:t>
      </w:r>
      <w:r>
        <w:rPr>
          <w:rFonts w:ascii="Monotype Corsiva" w:eastAsia="Times New Roman" w:hAnsi="Monotype Corsiva" w:cs="Courier New" w:hint="cs"/>
          <w:b/>
          <w:bCs/>
          <w:color w:val="202124"/>
          <w:sz w:val="36"/>
          <w:szCs w:val="36"/>
          <w:rtl/>
        </w:rPr>
        <w:t>.</w:t>
      </w:r>
    </w:p>
    <w:p>
      <w:pPr>
        <w:bidi w:val="0"/>
        <w:spacing w:after="0" w:line="240" w:lineRule="auto"/>
        <w:rPr>
          <w:rFonts w:eastAsia="Times New Roman" w:cs="Simplified Arabic"/>
          <w:sz w:val="36"/>
          <w:szCs w:val="36"/>
        </w:rPr>
      </w:pPr>
    </w:p>
    <w:p>
      <w:pPr>
        <w:spacing w:after="0" w:line="240" w:lineRule="auto"/>
        <w:rPr>
          <w:rFonts w:ascii="Times New Roman" w:eastAsia="Times New Roman" w:hAnsi="Times New Roman" w:cs="Simplified Arabic"/>
          <w:b/>
          <w:bCs/>
          <w:sz w:val="36"/>
          <w:szCs w:val="36"/>
          <w:rtl/>
          <w:lang w:bidi="ar-EG"/>
        </w:rPr>
      </w:pPr>
    </w:p>
    <w:p>
      <w:pPr>
        <w:spacing w:after="0" w:line="240" w:lineRule="auto"/>
        <w:jc w:val="center"/>
        <w:rPr>
          <w:rFonts w:ascii="Sakkal Majalla" w:eastAsia="Times New Roman" w:hAnsi="Sakkal Majalla" w:cs="Fanan"/>
          <w:b/>
          <w:bCs/>
          <w:sz w:val="38"/>
          <w:szCs w:val="38"/>
          <w:rtl/>
        </w:rPr>
      </w:pPr>
      <w:r>
        <w:rPr>
          <w:rFonts w:ascii="Sakkal Majalla" w:eastAsia="Times New Roman" w:hAnsi="Sakkal Majalla" w:cs="Fanan" w:hint="cs"/>
          <w:b/>
          <w:bCs/>
          <w:sz w:val="38"/>
          <w:szCs w:val="38"/>
          <w:rtl/>
        </w:rPr>
        <w:t>إعداد</w:t>
      </w:r>
    </w:p>
    <w:p>
      <w:pPr>
        <w:spacing w:after="0" w:line="240" w:lineRule="auto"/>
        <w:jc w:val="center"/>
        <w:rPr>
          <w:rFonts w:ascii="Times New Roman" w:eastAsia="Times New Roman" w:hAnsi="Times New Roman" w:cs="Malik Lt BT"/>
          <w:b/>
          <w:bCs/>
          <w:sz w:val="36"/>
          <w:szCs w:val="36"/>
          <w:rtl/>
        </w:rPr>
      </w:pPr>
      <w:r>
        <w:rPr>
          <w:rFonts w:ascii="Times New Roman" w:eastAsia="Times New Roman" w:hAnsi="Times New Roman" w:cs="Malik Lt BT" w:hint="cs"/>
          <w:b/>
          <w:bCs/>
          <w:sz w:val="36"/>
          <w:szCs w:val="36"/>
          <w:rtl/>
        </w:rPr>
        <w:t>منى حمدي عبد العزيز بيومي</w:t>
      </w:r>
    </w:p>
    <w:p>
      <w:pPr>
        <w:spacing w:after="0" w:line="240" w:lineRule="auto"/>
        <w:jc w:val="center"/>
        <w:rPr>
          <w:rFonts w:ascii="Times New Roman" w:eastAsia="Times New Roman" w:hAnsi="Times New Roman" w:cs="Simplified Arabic"/>
          <w:b/>
          <w:bCs/>
          <w:sz w:val="36"/>
          <w:szCs w:val="36"/>
          <w:rtl/>
          <w:lang w:bidi="ar-EG"/>
        </w:rPr>
      </w:pPr>
      <w:r>
        <w:rPr>
          <w:rFonts w:ascii="Times New Roman" w:eastAsia="Times New Roman" w:hAnsi="Times New Roman" w:cs="Simplified Arabic" w:hint="cs"/>
          <w:b/>
          <w:bCs/>
          <w:sz w:val="36"/>
          <w:szCs w:val="36"/>
          <w:rtl/>
          <w:lang w:bidi="ar-EG"/>
        </w:rPr>
        <w:t>مدرس مساعد بالقسم</w:t>
      </w:r>
    </w:p>
    <w:p>
      <w:pPr>
        <w:spacing w:after="0" w:line="240" w:lineRule="auto"/>
        <w:jc w:val="center"/>
        <w:rPr>
          <w:rFonts w:ascii="Times New Roman" w:eastAsia="Times New Roman" w:hAnsi="Times New Roman" w:cs="Simplified Arabic"/>
          <w:b/>
          <w:bCs/>
          <w:sz w:val="36"/>
          <w:szCs w:val="36"/>
          <w:rtl/>
        </w:rPr>
      </w:pPr>
      <w:r>
        <w:rPr>
          <w:rFonts w:ascii="Times New Roman" w:eastAsia="Times New Roman" w:hAnsi="Times New Roman" w:cs="Simplified Arabic" w:hint="cs"/>
          <w:b/>
          <w:bCs/>
          <w:sz w:val="36"/>
          <w:szCs w:val="36"/>
          <w:rtl/>
        </w:rPr>
        <w:t>إشراف</w:t>
      </w:r>
    </w:p>
    <w:p>
      <w:pPr>
        <w:spacing w:after="0" w:line="240" w:lineRule="auto"/>
        <w:rPr>
          <w:rFonts w:ascii="Times New Roman" w:eastAsia="Times New Roman" w:hAnsi="Times New Roman" w:cs="Simplified Arabic"/>
          <w:b/>
          <w:bCs/>
          <w:sz w:val="32"/>
          <w:szCs w:val="32"/>
          <w:rtl/>
        </w:rPr>
      </w:pPr>
      <w:r>
        <w:rPr>
          <w:rFonts w:ascii="Times New Roman" w:eastAsia="Times New Roman" w:hAnsi="Times New Roman" w:cs="Simplified Arabic" w:hint="cs"/>
          <w:b/>
          <w:bCs/>
          <w:sz w:val="36"/>
          <w:szCs w:val="36"/>
          <w:rtl/>
        </w:rPr>
        <w:t>أ</w:t>
      </w:r>
      <w:r>
        <w:rPr>
          <w:rFonts w:ascii="Times New Roman" w:eastAsia="Times New Roman" w:hAnsi="Times New Roman" w:cs="Simplified Arabic" w:hint="cs"/>
          <w:b/>
          <w:bCs/>
          <w:sz w:val="32"/>
          <w:szCs w:val="32"/>
          <w:rtl/>
        </w:rPr>
        <w:t>.د/ ماجدة راغب محمد بلابل              أ.د/ ميساء محمد مصطفى أحمد حمزه</w:t>
      </w:r>
    </w:p>
    <w:p>
      <w:pPr>
        <w:spacing w:after="0" w:line="240" w:lineRule="auto"/>
        <w:rPr>
          <w:rFonts w:ascii="Times New Roman" w:eastAsia="Times New Roman" w:hAnsi="Times New Roman" w:cs="Simplified Arabic"/>
          <w:b/>
          <w:bCs/>
          <w:sz w:val="32"/>
          <w:szCs w:val="32"/>
          <w:rtl/>
        </w:rPr>
      </w:pPr>
      <w:r>
        <w:rPr>
          <w:rFonts w:ascii="Times New Roman" w:eastAsia="Times New Roman" w:hAnsi="Times New Roman" w:cs="Simplified Arabic" w:hint="cs"/>
          <w:b/>
          <w:bCs/>
          <w:sz w:val="32"/>
          <w:szCs w:val="32"/>
          <w:rtl/>
        </w:rPr>
        <w:t xml:space="preserve">أستاذ  المناهج وطرق تدريس                أستاذ المناهج وطرق تدريس المواد </w:t>
      </w:r>
    </w:p>
    <w:p>
      <w:pPr>
        <w:spacing w:after="0" w:line="240" w:lineRule="auto"/>
        <w:rPr>
          <w:rFonts w:ascii="Times New Roman" w:eastAsia="Times New Roman" w:hAnsi="Times New Roman" w:cs="Simplified Arabic"/>
          <w:b/>
          <w:bCs/>
          <w:sz w:val="32"/>
          <w:szCs w:val="32"/>
          <w:rtl/>
        </w:rPr>
      </w:pPr>
      <w:r>
        <w:rPr>
          <w:rFonts w:ascii="Times New Roman" w:eastAsia="Times New Roman" w:hAnsi="Times New Roman" w:cs="Simplified Arabic" w:hint="cs"/>
          <w:b/>
          <w:bCs/>
          <w:sz w:val="32"/>
          <w:szCs w:val="32"/>
          <w:rtl/>
        </w:rPr>
        <w:t xml:space="preserve">  المواد الفلسفية المتفرغ                                الفلسفية </w:t>
      </w:r>
    </w:p>
    <w:p>
      <w:pPr>
        <w:spacing w:after="0" w:line="240" w:lineRule="auto"/>
        <w:jc w:val="center"/>
        <w:rPr>
          <w:rFonts w:ascii="Times New Roman" w:eastAsia="Times New Roman" w:hAnsi="Times New Roman" w:cs="Simplified Arabic"/>
          <w:b/>
          <w:bCs/>
          <w:sz w:val="36"/>
          <w:szCs w:val="36"/>
          <w:rtl/>
        </w:rPr>
      </w:pPr>
      <w:r>
        <w:rPr>
          <w:rFonts w:ascii="Times New Roman" w:eastAsia="Times New Roman" w:hAnsi="Times New Roman" w:cs="Simplified Arabic"/>
          <w:noProof/>
          <w:sz w:val="27"/>
          <w:szCs w:val="27"/>
        </w:rPr>
        <mc:AlternateContent>
          <mc:Choice Requires="wps">
            <w:drawing>
              <wp:anchor distT="0" distB="0" distL="114300" distR="114300" simplePos="0" relativeHeight="251660288" behindDoc="0" locked="0" layoutInCell="1" allowOverlap="1">
                <wp:simplePos x="0" y="0"/>
                <wp:positionH relativeFrom="column">
                  <wp:posOffset>2352675</wp:posOffset>
                </wp:positionH>
                <wp:positionV relativeFrom="paragraph">
                  <wp:posOffset>543560</wp:posOffset>
                </wp:positionV>
                <wp:extent cx="495300" cy="2667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 cy="266700"/>
                        </a:xfrm>
                        <a:prstGeom prst="rect">
                          <a:avLst/>
                        </a:prstGeom>
                        <a:solidFill>
                          <a:sysClr val="window" lastClr="FFFFFF"/>
                        </a:solidFill>
                        <a:ln w="6350">
                          <a:solidFill>
                            <a:sysClr val="window" lastClr="FFFFFF"/>
                          </a:solidFill>
                        </a:ln>
                        <a:effectLst/>
                      </wps:spPr>
                      <wps:txbx>
                        <w:txbxContent>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C30BE98" id="_x0000_t202" coordsize="21600,21600" o:spt="202" path="m,l,21600r21600,l21600,xe">
                <v:stroke joinstyle="miter"/>
                <v:path gradientshapeok="t" o:connecttype="rect"/>
              </v:shapetype>
              <v:shape id="Text Box 2" o:spid="_x0000_s1026" type="#_x0000_t202" style="position:absolute;left:0;text-align:left;margin-left:185.25pt;margin-top:42.8pt;width:39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UFmRQIAAMQEAAAOAAAAZHJzL2Uyb0RvYy54bWysVE2P2jAQvVfqf7B8LwkssN2IsKKsqCqh&#10;3ZXYas/GsUlUx+PahoT++o6d8NFtT205mLFnPDPv+U1m922tyEFYV4HO6XCQUiI0h6LSu5x+fVl9&#10;+EiJ80wXTIEWOT0KR+/n79/NGpOJEZSgCmEJJtEua0xOS+9NliSOl6JmbgBGaHRKsDXzuLW7pLCs&#10;wey1SkZpOk0asIWxwIVzePrQOek85pdScP8kpROeqJxibz6uNq7bsCbzGct2lpmy4n0b7C+6qFml&#10;seg51QPzjOxt9VuquuIWHEg/4FAnIGXFRcSAaIbpGzSbkhkRsSA5zpxpcv8vLX88bMyzJb79BC0+&#10;YAThzBr4N4fcJI1xWR8TOHWZw+gAtJW2Dv8IgeBF5PZ45lO0nnA8HN9NblL0cHSNptNbtEPOy2Vj&#10;nf8soCbByKnF54oNsMPa+S70FBJqOVBVsaqUipujWypLDgxfFgVRQEOJYs7jYU5X8ddX++Wa0qTJ&#10;6fRmknZQ/zklwlE6NCSi3PrGL1QFy7fbFuEEcwvFEfm20EnRGb6qEPwaO39mFrWHfOE8+SdcpALs&#10;FXqLkhLsjz+dh3iUBHopaVDLOXXf98wKJOSLRrHcDcfjIP64GU9uR7ix157ttUfv6yUgqUOcXMOj&#10;GeK9Op1KC/Urjt0iVEUX0xxr59SfzKXvJgzHlovFIgah3A3za70x/CSz8LQv7Suzpn9/j8J5hJPq&#10;WfZGBl1soFrDYu9BVlEjF1Z7veKoRJX1Yx1m8Xofoy4fn/lPAAAA//8DAFBLAwQUAAYACAAAACEA&#10;/0Y9MeAAAAAKAQAADwAAAGRycy9kb3ducmV2LnhtbEyPwU7DMAyG70i8Q2Qkbiyl29qqNJ0QGhMX&#10;BmwcOGaNacsap2rSrbw95gRH259+f3+xmmwnTjj41pGC21kEAqlypqVawfv+8SYD4YMmoztHqOAb&#10;PazKy4tC58ad6Q1Pu1ALDiGfawVNCH0upa8atNrPXI/Et083WB14HGppBn3mcNvJOIoSaXVL/KHR&#10;PT40WB13o1WwnR/3L89PqRybzfprjYn9eI03Sl1fTfd3IAJO4Q+GX31Wh5KdDm4k40WnYJ5GS0YV&#10;ZMsEBAOLRcaLA5NxmoAsC/m/QvkDAAD//wMAUEsBAi0AFAAGAAgAAAAhALaDOJL+AAAA4QEAABMA&#10;AAAAAAAAAAAAAAAAAAAAAFtDb250ZW50X1R5cGVzXS54bWxQSwECLQAUAAYACAAAACEAOP0h/9YA&#10;AACUAQAACwAAAAAAAAAAAAAAAAAvAQAAX3JlbHMvLnJlbHNQSwECLQAUAAYACAAAACEAIG1BZkUC&#10;AADEBAAADgAAAAAAAAAAAAAAAAAuAgAAZHJzL2Uyb0RvYy54bWxQSwECLQAUAAYACAAAACEA/0Y9&#10;MeAAAAAKAQAADwAAAAAAAAAAAAAAAACfBAAAZHJzL2Rvd25yZXYueG1sUEsFBgAAAAAEAAQA8wAA&#10;AKwFAAAAAA==&#10;" fillcolor="window" strokecolor="window" strokeweight=".5pt">
                <v:path arrowok="t"/>
                <v:textbox>
                  <w:txbxContent>
                    <w:p w14:paraId="096AE6F3" w14:textId="77777777" w:rsidR="00F21A1C" w:rsidRDefault="00F21A1C" w:rsidP="006D6765"/>
                  </w:txbxContent>
                </v:textbox>
              </v:shape>
            </w:pict>
          </mc:Fallback>
        </mc:AlternateContent>
      </w:r>
      <w:r>
        <w:rPr>
          <w:rFonts w:ascii="Times New Roman" w:eastAsia="Times New Roman" w:hAnsi="Times New Roman" w:cs="Simplified Arabic" w:hint="cs"/>
          <w:b/>
          <w:bCs/>
          <w:sz w:val="36"/>
          <w:szCs w:val="36"/>
          <w:rtl/>
        </w:rPr>
        <w:t>1447هـ-2026م</w:t>
      </w:r>
    </w:p>
    <w:p>
      <w:pPr>
        <w:spacing w:after="0" w:line="240" w:lineRule="auto"/>
        <w:jc w:val="center"/>
        <w:rPr>
          <w:rFonts w:ascii="Times New Roman" w:eastAsia="Times New Roman" w:hAnsi="Times New Roman" w:cs="Simplified Arabic"/>
          <w:b/>
          <w:bCs/>
          <w:sz w:val="36"/>
          <w:szCs w:val="36"/>
          <w:rtl/>
        </w:rPr>
      </w:pPr>
    </w:p>
    <w:p>
      <w:pPr>
        <w:spacing w:after="0" w:line="240" w:lineRule="auto"/>
        <w:jc w:val="center"/>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jc w:val="both"/>
        <w:rPr>
          <w:rFonts w:ascii="Times New Roman" w:eastAsia="Times New Roman" w:hAnsi="Times New Roman" w:cs="Simplified Arabic"/>
          <w:b/>
          <w:bCs/>
          <w:sz w:val="28"/>
          <w:szCs w:val="28"/>
          <w:rtl/>
        </w:rPr>
      </w:pPr>
      <w:r>
        <w:rPr>
          <w:rFonts w:ascii="Times New Roman" w:eastAsia="Times New Roman" w:hAnsi="Times New Roman" w:cs="Simplified Arabic" w:hint="cs"/>
          <w:b/>
          <w:bCs/>
          <w:sz w:val="28"/>
          <w:szCs w:val="28"/>
          <w:rtl/>
        </w:rPr>
        <w:lastRenderedPageBreak/>
        <w:t xml:space="preserve">                                            المستخلص</w:t>
      </w:r>
    </w:p>
    <w:p>
      <w:pPr>
        <w:spacing w:after="0" w:line="240" w:lineRule="auto"/>
        <w:jc w:val="both"/>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rPr>
        <w:t xml:space="preserve">إستهدف البحث التعرف على فاعلية برنامج قائم على مبادئ نظرية التعلم الخبراتى لتنمية الإتجاه نحو الماده </w:t>
      </w:r>
      <w:r>
        <w:rPr>
          <w:rFonts w:ascii="Times New Roman" w:eastAsia="Times New Roman" w:hAnsi="Times New Roman" w:cs="Simplified Arabic" w:hint="cs"/>
          <w:sz w:val="28"/>
          <w:szCs w:val="28"/>
          <w:rtl/>
          <w:lang w:bidi="ar-EG"/>
        </w:rPr>
        <w:t xml:space="preserve"> لدى طلاب المرحلة الثانوية ،وقد تكونت مجموعة البحث  من (30) طالب من طلاب الصف الأول الثانوى ، وقامت الباحثة بتطبيق مقياس الإتجاه (إعداد الباحثة) وتم تطبيقه قبلياً وبعدياً على مجموعة البحث وتوصلت النتائج إلى ما يلى:</w:t>
      </w:r>
    </w:p>
    <w:p>
      <w:pPr>
        <w:numPr>
          <w:ilvl w:val="0"/>
          <w:numId w:val="20"/>
        </w:numPr>
        <w:spacing w:after="0" w:line="360" w:lineRule="auto"/>
        <w:jc w:val="both"/>
        <w:rPr>
          <w:rFonts w:ascii="Times New Roman" w:eastAsia="Times New Roman" w:hAnsi="Times New Roman" w:cs="Simplified Arabic"/>
          <w:sz w:val="28"/>
          <w:szCs w:val="28"/>
        </w:rPr>
      </w:pPr>
      <w:r>
        <w:rPr>
          <w:rFonts w:cs="Simplified Arabic" w:hint="cs"/>
          <w:sz w:val="28"/>
          <w:szCs w:val="28"/>
          <w:rtl/>
        </w:rPr>
        <w:t>وجود فرق ذو دلالة إحصائية عند مستوى دلالة (</w:t>
      </w:r>
      <w:r>
        <w:rPr>
          <w:rFonts w:cs="Simplified Arabic"/>
          <w:sz w:val="28"/>
          <w:szCs w:val="28"/>
        </w:rPr>
        <w:t>α ≤ 0.01</w:t>
      </w:r>
      <w:r>
        <w:rPr>
          <w:rFonts w:cs="Simplified Arabic" w:hint="cs"/>
          <w:sz w:val="28"/>
          <w:szCs w:val="28"/>
          <w:rtl/>
        </w:rPr>
        <w:t xml:space="preserve">) بين </w:t>
      </w:r>
      <w:r>
        <w:rPr>
          <w:rFonts w:cs="Simplified Arabic"/>
          <w:sz w:val="28"/>
          <w:szCs w:val="28"/>
          <w:rtl/>
        </w:rPr>
        <w:t xml:space="preserve">متوسطى درجات طلاب </w:t>
      </w:r>
      <w:r>
        <w:rPr>
          <w:rFonts w:cs="Simplified Arabic" w:hint="cs"/>
          <w:sz w:val="28"/>
          <w:szCs w:val="28"/>
          <w:rtl/>
        </w:rPr>
        <w:t>مجموعة</w:t>
      </w:r>
      <w:r>
        <w:rPr>
          <w:rFonts w:cs="Simplified Arabic"/>
          <w:sz w:val="28"/>
          <w:szCs w:val="28"/>
          <w:rtl/>
        </w:rPr>
        <w:t xml:space="preserve"> </w:t>
      </w:r>
      <w:r>
        <w:rPr>
          <w:rFonts w:cs="Simplified Arabic" w:hint="cs"/>
          <w:sz w:val="28"/>
          <w:szCs w:val="28"/>
          <w:rtl/>
        </w:rPr>
        <w:t>البحث</w:t>
      </w:r>
      <w:r>
        <w:rPr>
          <w:rFonts w:cs="Simplified Arabic"/>
          <w:sz w:val="28"/>
          <w:szCs w:val="28"/>
          <w:rtl/>
        </w:rPr>
        <w:t xml:space="preserve"> فى التطبيقين القبلى والبعدى لمقياس الاتجاه ككل وفى كل بعد على حده، لصالح درجات الطلاب في التطبيق البعدى</w:t>
      </w:r>
      <w:r>
        <w:rPr>
          <w:rFonts w:cs="Simplified Arabic" w:hint="cs"/>
          <w:sz w:val="28"/>
          <w:szCs w:val="28"/>
          <w:rtl/>
        </w:rPr>
        <w:t>.</w:t>
      </w:r>
    </w:p>
    <w:p>
      <w:pPr>
        <w:numPr>
          <w:ilvl w:val="0"/>
          <w:numId w:val="20"/>
        </w:numPr>
        <w:spacing w:after="0" w:line="360" w:lineRule="auto"/>
        <w:jc w:val="both"/>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يتسم البرنامج القائم على مبادئ نظرية التعلم الخبراتى بالفاعلية فى تنمية الإتجاه نحو الماده لدى طلاب مجموعة البحث.</w:t>
      </w:r>
    </w:p>
    <w:p>
      <w:pPr>
        <w:rPr>
          <w:rtl/>
          <w:lang w:bidi="ar-EG"/>
        </w:rPr>
      </w:pPr>
    </w:p>
    <w:p>
      <w:pPr>
        <w:spacing w:after="0" w:line="240" w:lineRule="auto"/>
        <w:rPr>
          <w:rFonts w:ascii="Times New Roman" w:eastAsia="Times New Roman" w:hAnsi="Times New Roman" w:cs="Simplified Arabic"/>
          <w:b/>
          <w:bCs/>
          <w:sz w:val="36"/>
          <w:szCs w:val="36"/>
          <w:rtl/>
        </w:rPr>
      </w:pPr>
      <w:r>
        <w:rPr>
          <w:rFonts w:hint="cs"/>
          <w:b/>
          <w:bCs/>
          <w:sz w:val="28"/>
          <w:szCs w:val="28"/>
          <w:rtl/>
          <w:lang w:bidi="ar-EG"/>
        </w:rPr>
        <w:t>الكلمات الإفتتاحية: نظرية التعلم الخبراتى، الإتجاه نحو الماده .</w:t>
      </w: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bidi w:val="0"/>
        <w:spacing w:before="100" w:beforeAutospacing="1" w:after="100" w:afterAutospacing="1" w:line="360" w:lineRule="auto"/>
        <w:jc w:val="center"/>
        <w:outlineLvl w:val="2"/>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Abstract</w:t>
      </w:r>
    </w:p>
    <w:p>
      <w:pPr>
        <w:bidi w:val="0"/>
        <w:spacing w:before="100" w:beforeAutospacing="1" w:after="100" w:afterAutospacing="1" w:line="360" w:lineRule="auto"/>
        <w:jc w:val="both"/>
        <w:rPr>
          <w:rFonts w:ascii="Times New Roman" w:eastAsia="Times New Roman" w:hAnsi="Times New Roman" w:cs="Times New Roman"/>
          <w:sz w:val="26"/>
          <w:szCs w:val="26"/>
          <w:rtl/>
          <w:lang w:bidi="ar-EG"/>
        </w:rPr>
      </w:pPr>
      <w:r>
        <w:rPr>
          <w:rFonts w:ascii="Times New Roman" w:eastAsia="Times New Roman" w:hAnsi="Times New Roman" w:cs="Times New Roman"/>
          <w:sz w:val="26"/>
          <w:szCs w:val="26"/>
        </w:rPr>
        <w:t>The current research aimed to detect the effectiveness of a program based on the principles of Experiential Learning Theory in developing the attitude towards the subject among secondary school students. The research sample consisted of (</w:t>
      </w:r>
      <w:r>
        <w:rPr>
          <w:rFonts w:ascii="Times New Roman" w:eastAsia="Times New Roman" w:hAnsi="Times New Roman" w:cs="Times New Roman" w:hint="cs"/>
          <w:sz w:val="26"/>
          <w:szCs w:val="26"/>
          <w:rtl/>
        </w:rPr>
        <w:t>30</w:t>
      </w:r>
      <w:r>
        <w:rPr>
          <w:rFonts w:ascii="Times New Roman" w:eastAsia="Times New Roman" w:hAnsi="Times New Roman" w:cs="Times New Roman"/>
          <w:sz w:val="26"/>
          <w:szCs w:val="26"/>
        </w:rPr>
        <w:t>) first-year secondary students. The researcher administered Attitude towards the Subject scale (both developed by the current study researcher)</w:t>
      </w:r>
      <w:r>
        <w:t xml:space="preserve"> i</w:t>
      </w:r>
      <w:r>
        <w:rPr>
          <w:rFonts w:ascii="Times New Roman" w:eastAsia="Times New Roman" w:hAnsi="Times New Roman" w:cs="Times New Roman"/>
          <w:sz w:val="26"/>
          <w:szCs w:val="26"/>
        </w:rPr>
        <w:t>t was applied before and after, and the results of the study reached the following:</w:t>
      </w:r>
    </w:p>
    <w:p>
      <w:pPr>
        <w:bidi w:val="0"/>
        <w:spacing w:before="100" w:beforeAutospacing="1" w:after="100" w:afterAutospacing="1" w:line="360" w:lineRule="auto"/>
        <w:jc w:val="both"/>
        <w:outlineLvl w:val="2"/>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Research Findings:</w:t>
      </w:r>
    </w:p>
    <w:p>
      <w:pPr>
        <w:numPr>
          <w:ilvl w:val="0"/>
          <w:numId w:val="41"/>
        </w:numPr>
        <w:bidi w:val="0"/>
        <w:spacing w:before="100" w:beforeAutospacing="1" w:after="100" w:afterAutospacing="1"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There is a statistically significant difference at the level (α ≤ 0.01) between the mean scores of the study sample in the pre and post assessment  of the attitude towards the subject scale as a whole aspect of its dimensions; In favor of the post-assessment .</w:t>
      </w:r>
    </w:p>
    <w:p>
      <w:pPr>
        <w:numPr>
          <w:ilvl w:val="0"/>
          <w:numId w:val="41"/>
        </w:numPr>
        <w:bidi w:val="0"/>
        <w:spacing w:before="100" w:beforeAutospacing="1" w:after="100" w:afterAutospacing="1"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The effectiveness of the proposed program based on the principles of Experiential Learning Theory in developing the attitude towards the subject among secondary school students.</w:t>
      </w:r>
    </w:p>
    <w:p>
      <w:pPr>
        <w:bidi w:val="0"/>
        <w:spacing w:after="0" w:line="360" w:lineRule="auto"/>
        <w:ind w:left="360"/>
        <w:jc w:val="both"/>
        <w:rPr>
          <w:rFonts w:ascii="Times New Roman" w:eastAsia="Calibri" w:hAnsi="Times New Roman" w:cs="Times New Roman"/>
          <w:b/>
          <w:bCs/>
          <w:kern w:val="2"/>
          <w:sz w:val="26"/>
          <w:szCs w:val="26"/>
          <w14:ligatures w14:val="standardContextual"/>
        </w:rPr>
      </w:pPr>
    </w:p>
    <w:p>
      <w:pPr>
        <w:bidi w:val="0"/>
        <w:spacing w:after="0" w:line="360" w:lineRule="auto"/>
        <w:ind w:left="720"/>
        <w:jc w:val="both"/>
        <w:rPr>
          <w:rFonts w:ascii="Times New Roman" w:eastAsia="Calibri" w:hAnsi="Times New Roman" w:cs="Times New Roman"/>
          <w:b/>
          <w:bCs/>
          <w:kern w:val="2"/>
          <w:sz w:val="26"/>
          <w:szCs w:val="26"/>
          <w14:ligatures w14:val="standardContextual"/>
        </w:rPr>
      </w:pPr>
      <w:r>
        <w:rPr>
          <w:rFonts w:ascii="Times New Roman" w:eastAsia="Calibri" w:hAnsi="Times New Roman" w:cs="Times New Roman"/>
          <w:b/>
          <w:bCs/>
          <w:kern w:val="2"/>
          <w:sz w:val="26"/>
          <w:szCs w:val="26"/>
          <w14:ligatures w14:val="standardContextual"/>
        </w:rPr>
        <w:t>Keywords:</w:t>
      </w:r>
      <w:r>
        <w:rPr>
          <w:rFonts w:ascii="Times New Roman" w:eastAsia="Calibri" w:hAnsi="Times New Roman" w:cs="Times New Roman"/>
          <w:kern w:val="2"/>
          <w:sz w:val="26"/>
          <w:szCs w:val="26"/>
          <w14:ligatures w14:val="standardContextual"/>
        </w:rPr>
        <w:t xml:space="preserve"> Experiential Learning Theory Principles, , and Attitude towards the Subject.</w:t>
      </w: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after="0" w:line="240" w:lineRule="auto"/>
        <w:rPr>
          <w:rFonts w:ascii="Times New Roman" w:eastAsia="Times New Roman" w:hAnsi="Times New Roman" w:cs="Simplified Arabic"/>
          <w:b/>
          <w:bCs/>
          <w:sz w:val="36"/>
          <w:szCs w:val="36"/>
          <w:rtl/>
        </w:rPr>
      </w:pPr>
    </w:p>
    <w:p>
      <w:pPr>
        <w:spacing w:before="120" w:after="120"/>
        <w:ind w:left="-483"/>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المقدمه:</w:t>
      </w:r>
    </w:p>
    <w:p>
      <w:pPr>
        <w:spacing w:before="120" w:after="120"/>
        <w:ind w:left="-483" w:firstLine="567"/>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يشهد العالم منذ مطلع هذا القرن العديد من التغيرات في جميع مجالات الحياة</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 xml:space="preserve"> ولا سيما المجال التربو</w:t>
      </w:r>
      <w:r>
        <w:rPr>
          <w:rFonts w:ascii="Simplified Arabic" w:hAnsi="Simplified Arabic" w:cs="Simplified Arabic" w:hint="cs"/>
          <w:sz w:val="28"/>
          <w:szCs w:val="28"/>
          <w:rtl/>
          <w:lang w:bidi="ar-EG"/>
        </w:rPr>
        <w:t xml:space="preserve">ي، </w:t>
      </w:r>
      <w:r>
        <w:rPr>
          <w:rFonts w:ascii="Simplified Arabic" w:hAnsi="Simplified Arabic" w:cs="Simplified Arabic"/>
          <w:sz w:val="28"/>
          <w:szCs w:val="28"/>
          <w:rtl/>
          <w:lang w:bidi="ar-EG"/>
        </w:rPr>
        <w:t xml:space="preserve"> نظراً للتطور </w:t>
      </w:r>
      <w:r>
        <w:rPr>
          <w:rFonts w:ascii="Simplified Arabic" w:hAnsi="Simplified Arabic" w:cs="Simplified Arabic" w:hint="cs"/>
          <w:sz w:val="28"/>
          <w:szCs w:val="28"/>
          <w:rtl/>
          <w:lang w:bidi="ar-EG"/>
        </w:rPr>
        <w:t xml:space="preserve">العلمى </w:t>
      </w:r>
      <w:r>
        <w:rPr>
          <w:rFonts w:ascii="Simplified Arabic" w:hAnsi="Simplified Arabic" w:cs="Simplified Arabic"/>
          <w:sz w:val="28"/>
          <w:szCs w:val="28"/>
          <w:rtl/>
          <w:lang w:bidi="ar-EG"/>
        </w:rPr>
        <w:t xml:space="preserve">المتسارع للمعرفة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وتجددها بصورة غير مسبوقة ، وبالتال</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 لابد من إعادة النظر في النظم التعليمية لتوفير بيئات تربوية وتعليمية</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تساعد على بناء المعرفة بطرق تهدف إلى مساعدة الطلاب على التفكير السليم المزود بالمعارف والمهارات ، </w:t>
      </w:r>
      <w:r>
        <w:rPr>
          <w:rFonts w:ascii="Simplified Arabic" w:hAnsi="Simplified Arabic" w:cs="Simplified Arabic" w:hint="cs"/>
          <w:sz w:val="28"/>
          <w:szCs w:val="28"/>
          <w:rtl/>
          <w:lang w:bidi="ar-EG"/>
        </w:rPr>
        <w:t>بما ينمي المعرفة العميقة لديهم.</w:t>
      </w:r>
    </w:p>
    <w:p>
      <w:pPr>
        <w:spacing w:before="120" w:after="120"/>
        <w:ind w:left="-483" w:firstLine="42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ويعد القرن الحادي والعشرون قرن المعرفة العميقة ، نتيجة تراكم الخبرات والمعارف الإنسانية ، مما كان له بالغ الأثر في تزايد أعباء المعلم ،فلم يعد مطلوباً منه الاكتفاء بنقل المعارف للطلاب ، بل تنمية قدراتهم على الوصول للمعرفة من مصادرها المختلفة والاستفادة القصوى منها ، ويكسبهم المهارات التى تمكنهم من التفاعل الأمثل مع العالم المحيط.(عليان وآخرون،2009: 111)</w:t>
      </w:r>
      <w:r>
        <w:rPr>
          <w:rStyle w:val="FootnoteReference"/>
          <w:rFonts w:ascii="Simplified Arabic" w:hAnsi="Simplified Arabic" w:cs="Simplified Arabic"/>
          <w:sz w:val="28"/>
          <w:szCs w:val="28"/>
          <w:rtl/>
          <w:lang w:bidi="ar-EG"/>
        </w:rPr>
        <w:footnoteReference w:id="1"/>
      </w:r>
    </w:p>
    <w:p>
      <w:pPr>
        <w:spacing w:before="120" w:after="120"/>
        <w:ind w:left="-483" w:firstLine="42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كما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إعداد</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الكوادر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البشرية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تتصف</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بالقدرة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حل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المشكلات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الفلسفية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واتخاذ</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القرارات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المناسبة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واستخدام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طرق</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التفكير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خلال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مواقف</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الحياة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اليومة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يأتي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إلا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بالبعد</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استخدام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السطحية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تعليم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الفلسفة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وتجنب التركيز على تذكر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الحقائق</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فقط،دون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فهم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بينها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ترابط</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وعلى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ضرورة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الاهتمام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بالعمق</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معالجة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المعارف</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غريب،</w:t>
      </w:r>
      <w:r>
        <w:rPr>
          <w:rFonts w:ascii="Simplified Arabic" w:hAnsi="Simplified Arabic" w:cs="Simplified Arabic"/>
          <w:sz w:val="28"/>
          <w:szCs w:val="28"/>
          <w:rtl/>
          <w:lang w:bidi="ar-EG"/>
        </w:rPr>
        <w:t>2014: 215).</w:t>
      </w:r>
    </w:p>
    <w:p>
      <w:pPr>
        <w:spacing w:before="120" w:after="12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وعلى الرغم من أن لمادة الفلسفة أهمية بالغة فإن الواقع يشير إلى  وجود اتجاهات سلبية لدى الطلاب نحو دراسة مادة الفلسفة ، مما أدى بدوره إلى عزوفهم عن دراستها ، كما نجد أن مادة الفلسفة تعاني من قصور واضح في طرائق تناولها والذي بدوره يعوقها عن تحقيق ما تسعى إليه من أهداف،ولذلك تؤكد الدراسات والبحوث أهمية استخدام طرائق جديدة تعزز مادة الفلسفة وتساعدها على تحقيق الأهداف التعليمية(سليمان،2013: 63).</w:t>
      </w:r>
    </w:p>
    <w:p>
      <w:pPr>
        <w:spacing w:before="120" w:after="120"/>
        <w:ind w:left="-12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وقد أرجعت بعض الدراسات سبب تقلص دور منهج الفلسفة بالمرحلة الثانوية في إشباع احتياجات الطلاب إلى عزوف الطلاب أنفسهم عن دراسة الفلسفة، وذلك نتيجة لعدد من المعوقات من بينها عدم إدراك الطلاب لأهمية مادة الفلسفة بالمرحلة الثانوية(سلامة،2001: 54)</w:t>
      </w:r>
    </w:p>
    <w:p>
      <w:pPr>
        <w:spacing w:before="120" w:after="120"/>
        <w:ind w:left="-12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وقد أكد زيدان (2001: 140) أن لاتجاه الطلاب نحو مادة الفلسفة أهمية كبيرة ، لما لديهم من طبيعة خاصة ، تتأثر بما يدرسون أو ما يدرس لهم ، فلابد من العناية بتنمية الاتجاهات الإيجابية نحو مادة الفلسفة، فالكثيرون منهم ليس لديهم الرغبة في دراسة المادة ،اعتقاداً منهم أنها تشوش معتقداتهم وتتعارض معها.</w:t>
      </w:r>
    </w:p>
    <w:p>
      <w:pPr>
        <w:spacing w:before="120" w:after="120"/>
        <w:ind w:left="-12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ونظراً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لأن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هو</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العملية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التعليمية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خلالها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يتم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نقل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المعارف</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والأفكار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والقيم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والاتجاهات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إلى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،فإنه</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لابد</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الاهتمام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بالطريقة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يتم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فيها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كل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ذلك</w:t>
      </w:r>
      <w:r>
        <w:rPr>
          <w:rFonts w:ascii="Simplified Arabic" w:hAnsi="Simplified Arabic" w:cs="Simplified Arabic"/>
          <w:sz w:val="28"/>
          <w:szCs w:val="28"/>
          <w:rtl/>
          <w:lang w:bidi="ar-EG"/>
        </w:rPr>
        <w:t xml:space="preserve"> , </w:t>
      </w:r>
      <w:r>
        <w:rPr>
          <w:rFonts w:ascii="Simplified Arabic" w:hAnsi="Simplified Arabic" w:cs="Simplified Arabic" w:hint="cs"/>
          <w:sz w:val="28"/>
          <w:szCs w:val="28"/>
          <w:rtl/>
          <w:lang w:bidi="ar-EG"/>
        </w:rPr>
        <w:t>لأنها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الجسر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الناقل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بين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قطبيه</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الذين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يتمثلان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بالمعلم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جهة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وبالمتعلم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جهة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أخرى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وقد</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أكد</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الباحثون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والمربون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ضرورة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إستخدام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أساليب</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متنوعة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وحديثة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للتدريس</w:t>
      </w:r>
      <w:r>
        <w:rPr>
          <w:rFonts w:ascii="Simplified Arabic" w:hAnsi="Simplified Arabic" w:cs="Simplified Arabic"/>
          <w:sz w:val="28"/>
          <w:szCs w:val="28"/>
          <w:rtl/>
          <w:lang w:bidi="ar-EG"/>
        </w:rPr>
        <w:t xml:space="preserve"> , </w:t>
      </w:r>
      <w:r>
        <w:rPr>
          <w:rFonts w:ascii="Simplified Arabic" w:hAnsi="Simplified Arabic" w:cs="Simplified Arabic" w:hint="cs"/>
          <w:sz w:val="28"/>
          <w:szCs w:val="28"/>
          <w:rtl/>
          <w:lang w:bidi="ar-EG"/>
        </w:rPr>
        <w:t>وجعلها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أكثر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فاعلية</w:t>
      </w:r>
      <w:r>
        <w:rPr>
          <w:rFonts w:ascii="Simplified Arabic" w:hAnsi="Simplified Arabic" w:cs="Simplified Arabic"/>
          <w:sz w:val="28"/>
          <w:szCs w:val="28"/>
          <w:rtl/>
          <w:lang w:bidi="ar-EG"/>
        </w:rPr>
        <w:t xml:space="preserve"> , </w:t>
      </w:r>
      <w:r>
        <w:rPr>
          <w:rFonts w:ascii="Simplified Arabic" w:hAnsi="Simplified Arabic" w:cs="Simplified Arabic" w:hint="cs"/>
          <w:sz w:val="28"/>
          <w:szCs w:val="28"/>
          <w:rtl/>
          <w:lang w:bidi="ar-EG"/>
        </w:rPr>
        <w:t>لذا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ظهر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لتحقيق</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هذا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الهدف</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خاصة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أنة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اتجاه</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تربوي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حديث</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سعادة</w:t>
      </w:r>
      <w:r>
        <w:rPr>
          <w:rFonts w:ascii="Simplified Arabic" w:hAnsi="Simplified Arabic" w:cs="Simplified Arabic"/>
          <w:sz w:val="28"/>
          <w:szCs w:val="28"/>
          <w:rtl/>
          <w:lang w:bidi="ar-EG"/>
        </w:rPr>
        <w:t>, 2017: 33).</w:t>
      </w:r>
    </w:p>
    <w:p>
      <w:pPr>
        <w:spacing w:before="120" w:after="120"/>
        <w:ind w:left="-58"/>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وترجع</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أسس</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نظرية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إلى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نظريات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لكل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جون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ديوى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بياجيه</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ووليام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جيمس</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الذين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أعطوا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دوراً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مركزياً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نظرياتهم</w:t>
      </w:r>
      <w:r>
        <w:rPr>
          <w:rFonts w:ascii="Simplified Arabic" w:hAnsi="Simplified Arabic" w:cs="Simplified Arabic"/>
          <w:sz w:val="28"/>
          <w:szCs w:val="28"/>
          <w:rtl/>
          <w:lang w:bidi="ar-EG"/>
        </w:rPr>
        <w:t xml:space="preserve"> , </w:t>
      </w:r>
      <w:r>
        <w:rPr>
          <w:rFonts w:ascii="Simplified Arabic" w:hAnsi="Simplified Arabic" w:cs="Simplified Arabic" w:hint="cs"/>
          <w:sz w:val="28"/>
          <w:szCs w:val="28"/>
          <w:rtl/>
          <w:lang w:bidi="ar-EG"/>
        </w:rPr>
        <w:t>وأن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هو</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بناء</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مستمر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للخبرة</w:t>
      </w:r>
      <w:r>
        <w:rPr>
          <w:rFonts w:ascii="Simplified Arabic" w:hAnsi="Simplified Arabic" w:cs="Simplified Arabic"/>
          <w:sz w:val="28"/>
          <w:szCs w:val="28"/>
          <w:rtl/>
          <w:lang w:bidi="ar-EG"/>
        </w:rPr>
        <w:t xml:space="preserve">  , </w:t>
      </w:r>
      <w:r>
        <w:rPr>
          <w:rFonts w:ascii="Simplified Arabic" w:hAnsi="Simplified Arabic" w:cs="Simplified Arabic" w:hint="cs"/>
          <w:sz w:val="28"/>
          <w:szCs w:val="28"/>
          <w:rtl/>
          <w:lang w:bidi="ar-EG"/>
        </w:rPr>
        <w:t>حيث</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تعتمد</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نظرية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نظرية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المعرفة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التجريبية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أو</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النظرية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الضمنية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للعملية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التعليمية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حيث</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تعمل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تغيير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سلوك</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الفرد</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بناءً</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تعرضه</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لعدد</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الحياتية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والتجارب</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الميدانية</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Kolb,2006:43)</w:t>
      </w:r>
      <w:r>
        <w:rPr>
          <w:rFonts w:ascii="Simplified Arabic" w:hAnsi="Simplified Arabic" w:cs="Simplified Arabic" w:hint="cs"/>
          <w:sz w:val="28"/>
          <w:szCs w:val="28"/>
          <w:rtl/>
          <w:lang w:bidi="ar-EG"/>
        </w:rPr>
        <w:t>)</w:t>
      </w:r>
    </w:p>
    <w:p>
      <w:pPr>
        <w:spacing w:before="120" w:after="120"/>
        <w:ind w:left="4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وقد تناول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مفهوم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الكثير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الخبراء</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عبر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السنوات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الأخيرة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،وجاءت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تعريفاتهم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مختلفة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شكلها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متفقة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جوهرها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فتعرفه</w:t>
      </w:r>
      <w:r>
        <w:rPr>
          <w:rFonts w:ascii="Simplified Arabic" w:hAnsi="Simplified Arabic" w:cs="Simplified Arabic"/>
          <w:sz w:val="28"/>
          <w:szCs w:val="28"/>
          <w:rtl/>
          <w:lang w:bidi="ar-EG"/>
        </w:rPr>
        <w:t>(</w:t>
      </w:r>
      <w:r>
        <w:rPr>
          <w:rFonts w:ascii="Simplified Arabic" w:hAnsi="Simplified Arabic" w:cs="Simplified Arabic"/>
          <w:sz w:val="28"/>
          <w:szCs w:val="28"/>
          <w:lang w:bidi="ar-EG"/>
        </w:rPr>
        <w:t>Sharlanova,2004;36</w:t>
      </w:r>
      <w:r>
        <w:rPr>
          <w:rFonts w:ascii="Simplified Arabic" w:hAnsi="Simplified Arabic" w:cs="Simplified Arabic"/>
          <w:sz w:val="28"/>
          <w:szCs w:val="28"/>
          <w:rtl/>
          <w:lang w:bidi="ar-EG"/>
        </w:rPr>
        <w:t xml:space="preserve">) بأنه إحدى النظريات التربوية الحديثة التى تنتقل من العملية التعليمية التقليدية ، الى العملية التعليمية الموجه نحو الفرد. </w:t>
      </w:r>
    </w:p>
    <w:p>
      <w:pPr>
        <w:spacing w:before="120" w:after="120"/>
        <w:ind w:left="-9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وعرفه</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Kolb,2005;194</w:t>
      </w:r>
      <w:r>
        <w:rPr>
          <w:rFonts w:ascii="Simplified Arabic" w:hAnsi="Simplified Arabic" w:cs="Simplified Arabic"/>
          <w:sz w:val="28"/>
          <w:szCs w:val="28"/>
          <w:rtl/>
          <w:lang w:bidi="ar-EG"/>
        </w:rPr>
        <w:t xml:space="preserve">). بأنه دورة تعلم تجعل المتعلم يلمس جميع الأساسيات </w:t>
      </w:r>
      <w:r>
        <w:rPr>
          <w:rFonts w:ascii="Simplified Arabic" w:hAnsi="Simplified Arabic" w:cs="Simplified Arabic" w:hint="cs"/>
          <w:sz w:val="28"/>
          <w:szCs w:val="28"/>
          <w:rtl/>
          <w:lang w:bidi="ar-EG"/>
        </w:rPr>
        <w:t>التي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تكّون،</w:t>
      </w:r>
      <w:r>
        <w:rPr>
          <w:rFonts w:ascii="Simplified Arabic" w:hAnsi="Simplified Arabic" w:cs="Simplified Arabic"/>
          <w:sz w:val="28"/>
          <w:szCs w:val="28"/>
          <w:rtl/>
          <w:lang w:bidi="ar-EG"/>
        </w:rPr>
        <w:t xml:space="preserve"> المعرفة وهى التجربة ،والتأمل،والتفكير ،والتطبيق </w:t>
      </w:r>
      <w:r>
        <w:rPr>
          <w:rFonts w:ascii="Simplified Arabic" w:hAnsi="Simplified Arabic" w:cs="Simplified Arabic" w:hint="cs"/>
          <w:sz w:val="28"/>
          <w:szCs w:val="28"/>
          <w:rtl/>
          <w:lang w:bidi="ar-EG"/>
        </w:rPr>
        <w:t>الواقعي</w:t>
      </w:r>
      <w:r>
        <w:rPr>
          <w:rFonts w:ascii="Simplified Arabic" w:hAnsi="Simplified Arabic" w:cs="Simplified Arabic"/>
          <w:sz w:val="28"/>
          <w:szCs w:val="28"/>
          <w:rtl/>
          <w:lang w:bidi="ar-EG"/>
        </w:rPr>
        <w:t xml:space="preserve"> عبر خبرات واقعية مباشرة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أساسها الملاحظات والتأملات.</w:t>
      </w:r>
    </w:p>
    <w:p>
      <w:pPr>
        <w:spacing w:before="120" w:after="120"/>
        <w:ind w:left="43"/>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وعرف</w:t>
      </w:r>
      <w:r>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Kolb</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على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أنه</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العملية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التى</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يتم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فيها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تكوين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المعرفة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خلال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تحويل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الخبرة</w:t>
      </w:r>
      <w:r>
        <w:rPr>
          <w:rFonts w:ascii="Simplified Arabic" w:hAnsi="Simplified Arabic" w:cs="Simplified Arabic"/>
          <w:sz w:val="28"/>
          <w:szCs w:val="28"/>
          <w:rtl/>
          <w:lang w:bidi="ar-EG"/>
        </w:rPr>
        <w:t>(</w:t>
      </w:r>
      <w:r>
        <w:rPr>
          <w:rFonts w:ascii="Simplified Arabic" w:hAnsi="Simplified Arabic" w:cs="Simplified Arabic"/>
          <w:sz w:val="28"/>
          <w:szCs w:val="28"/>
          <w:lang w:bidi="ar-EG"/>
        </w:rPr>
        <w:t>Kolb,2009;44</w:t>
      </w:r>
      <w:r>
        <w:rPr>
          <w:rFonts w:ascii="Simplified Arabic" w:hAnsi="Simplified Arabic" w:cs="Simplified Arabic"/>
          <w:sz w:val="28"/>
          <w:szCs w:val="28"/>
          <w:rtl/>
          <w:lang w:bidi="ar-EG"/>
        </w:rPr>
        <w:t>).</w:t>
      </w:r>
    </w:p>
    <w:p>
      <w:pPr>
        <w:spacing w:before="120" w:after="120"/>
        <w:ind w:left="4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ويعرف</w:t>
      </w:r>
      <w:r>
        <w:rPr>
          <w:rFonts w:ascii="Simplified Arabic" w:hAnsi="Simplified Arabic" w:cs="Simplified Arabic" w:hint="cs"/>
          <w:sz w:val="28"/>
          <w:szCs w:val="28"/>
          <w:rtl/>
          <w:lang w:bidi="ar-EG"/>
        </w:rPr>
        <w:t>ه محمد (2021: 204) بأنه التعلم الذى يتم من خلاله</w:t>
      </w:r>
      <w:r>
        <w:rPr>
          <w:rFonts w:ascii="Simplified Arabic" w:hAnsi="Simplified Arabic" w:cs="Simplified Arabic"/>
          <w:sz w:val="28"/>
          <w:szCs w:val="28"/>
          <w:rtl/>
          <w:lang w:bidi="ar-EG"/>
        </w:rPr>
        <w:t xml:space="preserve"> البناء المتكامل لشخصية المتعلم بالتعاون مع المعلم</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لينعكس إيجابياً بالتفاعل مع بيئته وطريقته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تغيير مفاهيم وأسلوب حياته </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بحيث يمكن للمتعلم </w:t>
      </w:r>
      <w:r>
        <w:rPr>
          <w:rFonts w:ascii="Simplified Arabic" w:hAnsi="Simplified Arabic" w:cs="Simplified Arabic" w:hint="cs"/>
          <w:sz w:val="28"/>
          <w:szCs w:val="28"/>
          <w:rtl/>
          <w:lang w:bidi="ar-EG"/>
        </w:rPr>
        <w:t>اكتساب</w:t>
      </w:r>
      <w:r>
        <w:rPr>
          <w:rFonts w:ascii="Simplified Arabic" w:hAnsi="Simplified Arabic" w:cs="Simplified Arabic"/>
          <w:sz w:val="28"/>
          <w:szCs w:val="28"/>
          <w:rtl/>
          <w:lang w:bidi="ar-EG"/>
        </w:rPr>
        <w:t xml:space="preserve"> المعرفة </w:t>
      </w:r>
      <w:r>
        <w:rPr>
          <w:rFonts w:ascii="Simplified Arabic" w:hAnsi="Simplified Arabic" w:cs="Simplified Arabic" w:hint="cs"/>
          <w:sz w:val="28"/>
          <w:szCs w:val="28"/>
          <w:rtl/>
          <w:lang w:bidi="ar-EG"/>
        </w:rPr>
        <w:t>بنفسه</w:t>
      </w:r>
      <w:r>
        <w:rPr>
          <w:rFonts w:ascii="Simplified Arabic" w:hAnsi="Simplified Arabic" w:cs="Simplified Arabic"/>
          <w:sz w:val="28"/>
          <w:szCs w:val="28"/>
          <w:rtl/>
          <w:lang w:bidi="ar-EG"/>
        </w:rPr>
        <w:t xml:space="preserve"> من خلال تجربتها والمرور بخبرات عديدة </w:t>
      </w:r>
      <w:r>
        <w:rPr>
          <w:rFonts w:ascii="Simplified Arabic" w:hAnsi="Simplified Arabic" w:cs="Simplified Arabic" w:hint="cs"/>
          <w:sz w:val="28"/>
          <w:szCs w:val="28"/>
          <w:rtl/>
          <w:lang w:bidi="ar-EG"/>
        </w:rPr>
        <w:t>،فيتم</w:t>
      </w:r>
      <w:r>
        <w:rPr>
          <w:rFonts w:ascii="Simplified Arabic" w:hAnsi="Simplified Arabic" w:cs="Simplified Arabic"/>
          <w:sz w:val="28"/>
          <w:szCs w:val="28"/>
          <w:rtl/>
          <w:lang w:bidi="ar-EG"/>
        </w:rPr>
        <w:t xml:space="preserve"> تطبيقها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مجالات متعددة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مجتمعه.</w:t>
      </w:r>
    </w:p>
    <w:p>
      <w:pPr>
        <w:spacing w:before="120" w:after="120"/>
        <w:ind w:left="4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ويقوم التعلم الخبراتي على مشاركة الطالب النشطة في عملية التعلم ، بمعنى أن يكون له دور خاص ومحورى في عملية التعلم ، ويقوم المعلم بدور التوجيه والإرشاد في عملية التعلم، فعندما يتعرض الطالب للخبرة المباشرة ، يقوم المتعلم بإعطائه الفرصة الكاملة لتناول الخبرة بنفسه ثم بعد ذلك يتدخل المعلم ويشارك المتعلم في توضيح أجزاء معينة أو تركيز انتباهه عليها ، ثم يتشاركان معاً في تبادل وجهات النظر حول الخبرة .(الفيل،2018: 85).</w:t>
      </w:r>
    </w:p>
    <w:p>
      <w:pPr>
        <w:spacing w:before="120" w:after="120"/>
        <w:ind w:left="4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يتضح مما سبق أن نظرية التعلم الخبراتي من النظريات التربوية التي تؤكد الدور المحورى الذي تؤديه الخبره في عملية التعلم ،  كما أنها تصلح للتطبيق في جميع المواد الدراسية ، ،لأنها تقوم على مجموعة من المراحل المتتابعة (اكتساب الخبره-الملاحظة التأمليه-التجريد-التجريب النشط)بما يحقق البناء المتكامل لبناء شخصية المتعلم، حيث يتم اكتساب الخبرات التعليمية وتطبيقها في سياق واقعي..</w:t>
      </w:r>
    </w:p>
    <w:p>
      <w:pPr>
        <w:spacing w:before="120" w:after="120"/>
        <w:ind w:left="-341"/>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ويُبنى التعلم الخبراتي على مجموعه من المبادئ والأسس</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التي</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يجب</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أن</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ينتبه</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لها</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كل</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من</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يتبنى</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هذا</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الاتجاه</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في</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التدريس</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من</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المربين</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والمعلمين،</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ويمكن</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تلخيصها</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فيما</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يأتى</w:t>
      </w:r>
      <w:r>
        <w:rPr>
          <w:rFonts w:ascii="Simplified Arabic" w:hAnsi="Simplified Arabic" w:cs="Simplified Arabic"/>
          <w:b/>
          <w:bCs/>
          <w:sz w:val="28"/>
          <w:szCs w:val="28"/>
          <w:rtl/>
          <w:lang w:bidi="ar-EG"/>
        </w:rPr>
        <w:t>:(</w:t>
      </w:r>
      <w:r>
        <w:rPr>
          <w:rFonts w:ascii="Simplified Arabic" w:hAnsi="Simplified Arabic" w:cs="Simplified Arabic"/>
          <w:b/>
          <w:bCs/>
          <w:sz w:val="28"/>
          <w:szCs w:val="28"/>
          <w:lang w:bidi="ar-EG"/>
        </w:rPr>
        <w:t>Kolb,2009; 43-44</w:t>
      </w:r>
      <w:r>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w:t>
      </w:r>
      <w:r>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سعادة،</w:t>
      </w:r>
      <w:r>
        <w:rPr>
          <w:rFonts w:ascii="Simplified Arabic" w:hAnsi="Simplified Arabic" w:cs="Simplified Arabic"/>
          <w:b/>
          <w:bCs/>
          <w:sz w:val="28"/>
          <w:szCs w:val="28"/>
          <w:rtl/>
          <w:lang w:bidi="ar-EG"/>
        </w:rPr>
        <w:t>2014: 32-38)</w:t>
      </w:r>
    </w:p>
    <w:p>
      <w:pPr>
        <w:pStyle w:val="ListParagraph"/>
        <w:numPr>
          <w:ilvl w:val="0"/>
          <w:numId w:val="10"/>
        </w:numPr>
        <w:spacing w:before="120" w:after="120"/>
        <w:ind w:left="-58"/>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محور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والمعلم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ميسر</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لعملية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وموجه</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لها.</w:t>
      </w:r>
    </w:p>
    <w:p>
      <w:pPr>
        <w:pStyle w:val="ListParagraph"/>
        <w:numPr>
          <w:ilvl w:val="0"/>
          <w:numId w:val="10"/>
        </w:numPr>
        <w:spacing w:before="120" w:after="120"/>
        <w:ind w:left="-58"/>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يحدث</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عندما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يتم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دعم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المختارة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بعناية.</w:t>
      </w:r>
    </w:p>
    <w:p>
      <w:pPr>
        <w:pStyle w:val="ListParagraph"/>
        <w:numPr>
          <w:ilvl w:val="0"/>
          <w:numId w:val="10"/>
        </w:numPr>
        <w:spacing w:before="120" w:after="120"/>
        <w:ind w:left="-58"/>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يتم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هيكلة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بحيث</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يتطلب</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يأخذ</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زمام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المبادرة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ويتخذ</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القرارات.</w:t>
      </w:r>
    </w:p>
    <w:p>
      <w:pPr>
        <w:pStyle w:val="ListParagraph"/>
        <w:numPr>
          <w:ilvl w:val="0"/>
          <w:numId w:val="10"/>
        </w:numPr>
        <w:spacing w:before="120" w:after="120"/>
        <w:ind w:left="-58"/>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أثناء</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يشارك</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بشكل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نشط</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طرح</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الأسئلة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والتحقيق</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والتجريب</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والإطلاع</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وحل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المشكلات</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p>
    <w:p>
      <w:pPr>
        <w:pStyle w:val="ListParagraph"/>
        <w:numPr>
          <w:ilvl w:val="0"/>
          <w:numId w:val="10"/>
        </w:numPr>
        <w:spacing w:before="120" w:after="120"/>
        <w:ind w:left="-58"/>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نتائج</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شخصية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وتشكل</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أساساً</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للخبرة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المستقبل.</w:t>
      </w:r>
    </w:p>
    <w:p>
      <w:pPr>
        <w:pStyle w:val="ListParagraph"/>
        <w:numPr>
          <w:ilvl w:val="0"/>
          <w:numId w:val="10"/>
        </w:numPr>
        <w:spacing w:before="120" w:after="120"/>
        <w:ind w:left="-58"/>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يتضمن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تصميم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الخبراتي</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إمكانية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التعلم</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عن</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طريق</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التجربة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والخطأ</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أو</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التجربة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والنجاح.</w:t>
      </w:r>
    </w:p>
    <w:p>
      <w:pPr>
        <w:spacing w:after="0"/>
        <w:ind w:left="43"/>
        <w:rPr>
          <w:rFonts w:ascii="Simplified Arabic" w:hAnsi="Simplified Arabic" w:cs="Simplified Arabic"/>
          <w:sz w:val="28"/>
          <w:szCs w:val="28"/>
          <w:rtl/>
          <w:lang w:bidi="ar-EG"/>
        </w:rPr>
      </w:pPr>
    </w:p>
    <w:p>
      <w:pPr>
        <w:spacing w:before="120" w:after="120"/>
        <w:ind w:left="-341"/>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وقد حدد</w:t>
      </w:r>
      <w:r>
        <w:rPr>
          <w:rFonts w:ascii="Simplified Arabic" w:hAnsi="Simplified Arabic" w:cs="Simplified Arabic"/>
          <w:b/>
          <w:bCs/>
          <w:sz w:val="28"/>
          <w:szCs w:val="28"/>
          <w:rtl/>
          <w:lang w:bidi="ar-EG"/>
        </w:rPr>
        <w:t xml:space="preserve"> (</w:t>
      </w:r>
      <w:r>
        <w:rPr>
          <w:rFonts w:ascii="Simplified Arabic" w:hAnsi="Simplified Arabic" w:cs="Simplified Arabic"/>
          <w:b/>
          <w:bCs/>
          <w:sz w:val="28"/>
          <w:szCs w:val="28"/>
          <w:lang w:bidi="ar-EG"/>
        </w:rPr>
        <w:t>Kolb,1984;38</w:t>
      </w:r>
      <w:r>
        <w:rPr>
          <w:rFonts w:ascii="Simplified Arabic" w:hAnsi="Simplified Arabic" w:cs="Simplified Arabic"/>
          <w:b/>
          <w:bCs/>
          <w:sz w:val="28"/>
          <w:szCs w:val="28"/>
          <w:rtl/>
          <w:lang w:bidi="ar-EG"/>
        </w:rPr>
        <w:t xml:space="preserve">) خصائص للتعلم الخبراتي تتمثل </w:t>
      </w:r>
      <w:r>
        <w:rPr>
          <w:rFonts w:ascii="Simplified Arabic" w:hAnsi="Simplified Arabic" w:cs="Simplified Arabic" w:hint="cs"/>
          <w:b/>
          <w:bCs/>
          <w:sz w:val="28"/>
          <w:szCs w:val="28"/>
          <w:rtl/>
          <w:lang w:bidi="ar-EG"/>
        </w:rPr>
        <w:t>فيما يلى</w:t>
      </w:r>
      <w:r>
        <w:rPr>
          <w:rFonts w:ascii="Simplified Arabic" w:hAnsi="Simplified Arabic" w:cs="Simplified Arabic"/>
          <w:b/>
          <w:bCs/>
          <w:sz w:val="28"/>
          <w:szCs w:val="28"/>
          <w:rtl/>
          <w:lang w:bidi="ar-EG"/>
        </w:rPr>
        <w:t>:</w:t>
      </w:r>
    </w:p>
    <w:p>
      <w:pPr>
        <w:pStyle w:val="ListParagraph"/>
        <w:numPr>
          <w:ilvl w:val="0"/>
          <w:numId w:val="9"/>
        </w:numPr>
        <w:spacing w:before="120" w:after="120"/>
        <w:ind w:left="-341" w:firstLine="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النظر إلى التعلم كعملية </w:t>
      </w:r>
      <w:r>
        <w:rPr>
          <w:rFonts w:ascii="Simplified Arabic" w:hAnsi="Simplified Arabic" w:cs="Simplified Arabic" w:hint="cs"/>
          <w:sz w:val="28"/>
          <w:szCs w:val="28"/>
          <w:rtl/>
          <w:lang w:bidi="ar-EG"/>
        </w:rPr>
        <w:t>لاكناتج.</w:t>
      </w:r>
    </w:p>
    <w:p>
      <w:pPr>
        <w:pStyle w:val="ListParagraph"/>
        <w:numPr>
          <w:ilvl w:val="0"/>
          <w:numId w:val="9"/>
        </w:numPr>
        <w:spacing w:before="120" w:after="120"/>
        <w:ind w:left="-341" w:firstLine="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التعلم عملية مستمرة موجودة بالخبرة</w:t>
      </w:r>
      <w:r>
        <w:rPr>
          <w:rFonts w:ascii="Simplified Arabic" w:hAnsi="Simplified Arabic" w:cs="Simplified Arabic" w:hint="cs"/>
          <w:sz w:val="28"/>
          <w:szCs w:val="28"/>
          <w:rtl/>
          <w:lang w:bidi="ar-EG"/>
        </w:rPr>
        <w:t>.</w:t>
      </w:r>
    </w:p>
    <w:p>
      <w:pPr>
        <w:pStyle w:val="ListParagraph"/>
        <w:numPr>
          <w:ilvl w:val="0"/>
          <w:numId w:val="9"/>
        </w:numPr>
        <w:spacing w:before="120" w:after="120"/>
        <w:ind w:left="-341" w:firstLine="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التعلم عملية تكيفية تتطلب التوفيق بين الأفكار المتعارضة</w:t>
      </w:r>
      <w:r>
        <w:rPr>
          <w:rFonts w:ascii="Simplified Arabic" w:hAnsi="Simplified Arabic" w:cs="Simplified Arabic" w:hint="cs"/>
          <w:sz w:val="28"/>
          <w:szCs w:val="28"/>
          <w:rtl/>
          <w:lang w:bidi="ar-EG"/>
        </w:rPr>
        <w:t>.</w:t>
      </w:r>
    </w:p>
    <w:p>
      <w:pPr>
        <w:pStyle w:val="ListParagraph"/>
        <w:numPr>
          <w:ilvl w:val="0"/>
          <w:numId w:val="9"/>
        </w:numPr>
        <w:spacing w:before="120" w:after="120"/>
        <w:ind w:left="-341" w:firstLine="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التعلم عملية كلية</w:t>
      </w:r>
      <w:r>
        <w:rPr>
          <w:rFonts w:ascii="Simplified Arabic" w:hAnsi="Simplified Arabic" w:cs="Simplified Arabic" w:hint="cs"/>
          <w:sz w:val="28"/>
          <w:szCs w:val="28"/>
          <w:rtl/>
          <w:lang w:bidi="ar-EG"/>
        </w:rPr>
        <w:t>.</w:t>
      </w:r>
    </w:p>
    <w:p>
      <w:pPr>
        <w:pStyle w:val="ListParagraph"/>
        <w:numPr>
          <w:ilvl w:val="0"/>
          <w:numId w:val="9"/>
        </w:numPr>
        <w:spacing w:before="120" w:after="120"/>
        <w:ind w:left="-341" w:firstLine="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التعلم تفاعل بين الشخص والبيئة.</w:t>
      </w:r>
    </w:p>
    <w:p>
      <w:pPr>
        <w:pStyle w:val="ListParagraph"/>
        <w:numPr>
          <w:ilvl w:val="0"/>
          <w:numId w:val="9"/>
        </w:numPr>
        <w:spacing w:before="120" w:after="120"/>
        <w:ind w:left="-341" w:firstLine="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التعلم عملية إنتاج المعرفة</w:t>
      </w:r>
    </w:p>
    <w:p>
      <w:pPr>
        <w:spacing w:after="0"/>
        <w:ind w:left="-99" w:firstLine="142"/>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وتتمثل</w:t>
      </w:r>
      <w:r>
        <w:rPr>
          <w:rFonts w:ascii="Simplified Arabic" w:hAnsi="Simplified Arabic" w:cs="Simplified Arabic"/>
          <w:b/>
          <w:bCs/>
          <w:sz w:val="28"/>
          <w:szCs w:val="28"/>
          <w:rtl/>
          <w:lang w:bidi="ar-EG"/>
        </w:rPr>
        <w:t xml:space="preserve"> أهمية التعلم </w:t>
      </w:r>
      <w:r>
        <w:rPr>
          <w:rFonts w:ascii="Simplified Arabic" w:hAnsi="Simplified Arabic" w:cs="Simplified Arabic" w:hint="cs"/>
          <w:b/>
          <w:bCs/>
          <w:sz w:val="28"/>
          <w:szCs w:val="28"/>
          <w:rtl/>
          <w:lang w:bidi="ar-EG"/>
        </w:rPr>
        <w:t>الخبراتي</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في أنه</w:t>
      </w:r>
      <w:r>
        <w:rPr>
          <w:rFonts w:ascii="Simplified Arabic" w:hAnsi="Simplified Arabic" w:cs="Simplified Arabic"/>
          <w:b/>
          <w:bCs/>
          <w:sz w:val="28"/>
          <w:szCs w:val="28"/>
          <w:rtl/>
          <w:lang w:bidi="ar-EG"/>
        </w:rPr>
        <w:t>:(</w:t>
      </w:r>
      <w:r>
        <w:rPr>
          <w:rFonts w:ascii="Simplified Arabic" w:hAnsi="Simplified Arabic" w:cs="Simplified Arabic"/>
          <w:b/>
          <w:bCs/>
          <w:sz w:val="28"/>
          <w:szCs w:val="28"/>
          <w:lang w:bidi="ar-EG"/>
        </w:rPr>
        <w:t>Healey&amp;Jenkins,2000;186</w:t>
      </w:r>
      <w:r>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،(الفيل،2018: 87).</w:t>
      </w:r>
    </w:p>
    <w:p>
      <w:pPr>
        <w:spacing w:after="0"/>
        <w:ind w:left="-99" w:firstLine="142"/>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يوفر توجيهات لأساليب التعلم</w:t>
      </w:r>
    </w:p>
    <w:p>
      <w:pPr>
        <w:spacing w:after="0"/>
        <w:ind w:left="43"/>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يوفر اتصالاً فعالاً بين النظرية والتطبيق</w:t>
      </w:r>
    </w:p>
    <w:p>
      <w:pPr>
        <w:spacing w:after="0"/>
        <w:ind w:left="43"/>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يحقق التعلم ذا معني والفهم العميق لمحتوى مادة التعلم وللخبرات التعليمية</w:t>
      </w:r>
    </w:p>
    <w:p>
      <w:pPr>
        <w:spacing w:after="0"/>
        <w:ind w:left="43"/>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يزيد من اندماج الطالب في عملية التعلم</w:t>
      </w:r>
    </w:p>
    <w:p>
      <w:pPr>
        <w:spacing w:after="0"/>
        <w:ind w:left="43"/>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يقدم صيغة واضحة بأهمية التأمل للطلاب وأهمية تقديم تغذية راجعة من أجل تحفيز وتشجيع دراستهم</w:t>
      </w:r>
    </w:p>
    <w:p>
      <w:pPr>
        <w:pStyle w:val="ListParagraph"/>
        <w:numPr>
          <w:ilvl w:val="0"/>
          <w:numId w:val="9"/>
        </w:numPr>
        <w:spacing w:before="120" w:after="120"/>
        <w:ind w:left="-341"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يزيد من رغبة المتعلمين في التعلم</w:t>
      </w:r>
    </w:p>
    <w:p>
      <w:pPr>
        <w:spacing w:before="120" w:after="120"/>
        <w:ind w:left="5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مشكلة البحث:</w:t>
      </w:r>
    </w:p>
    <w:p>
      <w:pPr>
        <w:spacing w:before="120" w:after="12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تتحدد مشكلة البحث في إنخفاض الاتجاه نحو الفلسفة لدى طلاب المرحلة الثانوية ، مما يتطلب بناء برنامج قائم على نظرية التعلم الخبراتي لتنمية الإتجاه نحو الفلسفة  لدى هؤلاء الطلاب، وللتصدي لهذه المشكلة ، وللتصدي لهذه المشكلة يحاول البحث الإجابة عن الأسئلة التالية :</w:t>
      </w:r>
    </w:p>
    <w:p>
      <w:pPr>
        <w:pStyle w:val="ListParagraph"/>
        <w:numPr>
          <w:ilvl w:val="0"/>
          <w:numId w:val="12"/>
        </w:numPr>
        <w:spacing w:before="120" w:after="120"/>
        <w:ind w:left="22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ما البرنامج القائم على نظرية التعلم الخبراتي لتنميةالإتجاه نحو الماده لدى طلاب المرحلة الثانوية؟</w:t>
      </w:r>
    </w:p>
    <w:p>
      <w:pPr>
        <w:pStyle w:val="ListParagraph"/>
        <w:numPr>
          <w:ilvl w:val="0"/>
          <w:numId w:val="12"/>
        </w:numPr>
        <w:spacing w:before="120" w:after="120"/>
        <w:ind w:left="22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ما فاعلية البرنامج القائم على نظرية التعلم الخبراتي في تنمية الاتجاه نحو الفلسفة لدى طلاب المرحلة الثانوية؟</w:t>
      </w:r>
    </w:p>
    <w:p>
      <w:pPr>
        <w:spacing w:before="120" w:after="120"/>
        <w:ind w:left="-134"/>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هدف البحث:</w:t>
      </w:r>
    </w:p>
    <w:p>
      <w:pPr>
        <w:spacing w:before="120" w:after="120"/>
        <w:ind w:left="50" w:hanging="27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 xml:space="preserve">- تٌعرف فاعلية البرنامج القائم على نظرية التعلم الخبراتي في </w:t>
      </w:r>
      <w:r>
        <w:rPr>
          <w:rFonts w:ascii="Simplified Arabic" w:hAnsi="Simplified Arabic" w:cs="Simplified Arabic" w:hint="cs"/>
          <w:sz w:val="28"/>
          <w:szCs w:val="28"/>
          <w:rtl/>
          <w:lang w:bidi="ar-EG"/>
        </w:rPr>
        <w:t xml:space="preserve">الإتجاه نحو الماده </w:t>
      </w:r>
      <w:r>
        <w:rPr>
          <w:rFonts w:ascii="Simplified Arabic" w:hAnsi="Simplified Arabic" w:cs="Simplified Arabic"/>
          <w:sz w:val="28"/>
          <w:szCs w:val="28"/>
          <w:rtl/>
          <w:lang w:bidi="ar-EG"/>
        </w:rPr>
        <w:t>لدى طلاب المرحلة الثانوية</w:t>
      </w:r>
      <w:r>
        <w:rPr>
          <w:rFonts w:ascii="Simplified Arabic" w:hAnsi="Simplified Arabic" w:cs="Simplified Arabic" w:hint="cs"/>
          <w:sz w:val="28"/>
          <w:szCs w:val="28"/>
          <w:rtl/>
          <w:lang w:bidi="ar-EG"/>
        </w:rPr>
        <w:t>.</w:t>
      </w:r>
    </w:p>
    <w:p>
      <w:pPr>
        <w:spacing w:before="120" w:after="12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أهمية البحث:</w:t>
      </w:r>
    </w:p>
    <w:p>
      <w:pPr>
        <w:spacing w:before="120" w:after="12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قد يفيد البحث الحالى فى المجالات الآتية:</w:t>
      </w:r>
    </w:p>
    <w:p>
      <w:pPr>
        <w:spacing w:before="120" w:after="12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طلاب المرحلة الثانوية: وذلك من خلال:</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تنمية الإتجاه نحو الماده ،مما يساعدهم على تحقيق الأهداف التدريسية.</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مساعدتهم على زيادة ثقتهم بأنفسهم، وتنمية قدرتهم على التعبير عن آرائهم.</w:t>
      </w:r>
    </w:p>
    <w:p>
      <w:pPr>
        <w:spacing w:before="120" w:after="120"/>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-قد يساعد البرنامج المقترح على تنمية الإتجاه نحو الماده وزيادة ثقة الطلاب بأنفسهم وذلك فى حالة ثبوت فاعليته.</w:t>
      </w:r>
    </w:p>
    <w:p>
      <w:pPr>
        <w:spacing w:before="120" w:after="12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معلمى المواد الفلسفية:وذلك من خلال:</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تقديم دليل المعلم والذى قد يستفيد منه معلمو المواد الفلسفية في التدريس بالبرنامج القائم على نظرية التعلم الخبراتي</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توضيح أهمية تنميةالإتجاه نحو الماده لدى طلاب المرحلة الثانوية</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الباحثين وذلك من خلال:</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توجيهم إلى الاستفادة من البرنامج القائم على نظرية التعلم الخبراتي ومسايرة التطورات والاتجاهات الحديثة في مجال التخصص.</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الاستفادة من مقياس الاتجاه لدى طلاب المرحلة الثانوية</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خبراء المناهج ومطوريها: وذلك من خلال:</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توجيه أنظار خبراء المناهج والمهتمين بتدريس الفلسفة لأهمية البرنامج القائم على نظرية التعلم الخبراتي</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محاولة التغلب على أوجه القصور في البرامج والإستراتيجيات المتبعة في تدريس الفلسفة.</w:t>
      </w:r>
    </w:p>
    <w:p>
      <w:pPr>
        <w:spacing w:before="120" w:after="12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حدود البحث:</w:t>
      </w:r>
    </w:p>
    <w:p>
      <w:pPr>
        <w:spacing w:before="120" w:after="120"/>
        <w:ind w:left="-134"/>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يقتصر البحث الحالى على الحدود الآتية:</w:t>
      </w:r>
    </w:p>
    <w:p>
      <w:pPr>
        <w:numPr>
          <w:ilvl w:val="0"/>
          <w:numId w:val="22"/>
        </w:numPr>
        <w:spacing w:after="0" w:line="240" w:lineRule="auto"/>
        <w:jc w:val="both"/>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ماده الفلسفة  المقرره على طلاب الصف الأول الثانوى ، حيث وجدت الباحثة من خلال الإطلاع العام على موضوعات الماده أنها تركز على التفكير مما يمكننا دمج الأمثلة والأنشطة داخلها مما ييسر تنمية الإتجاه نحو الماده .</w:t>
      </w:r>
    </w:p>
    <w:p>
      <w:pPr>
        <w:numPr>
          <w:ilvl w:val="0"/>
          <w:numId w:val="22"/>
        </w:numPr>
        <w:spacing w:after="0" w:line="240" w:lineRule="auto"/>
        <w:jc w:val="both"/>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مجموعة من طلاب الصف الأول الثانوى بمدرسة بتمدة الثانوية المشتركة بمحافظة القليوبية،لتيسير إجراءات الدراسة على الباحثة.</w:t>
      </w:r>
    </w:p>
    <w:p>
      <w:pPr>
        <w:numPr>
          <w:ilvl w:val="0"/>
          <w:numId w:val="22"/>
        </w:numPr>
        <w:spacing w:after="0" w:line="240" w:lineRule="auto"/>
        <w:jc w:val="both"/>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مراحل نظرية التعلم الخبراتى (الخبره الحسية -الملاحظة التأملية-المفاهيم المجرده-التجريب النشط-التقويم).</w:t>
      </w:r>
    </w:p>
    <w:p>
      <w:pPr>
        <w:numPr>
          <w:ilvl w:val="0"/>
          <w:numId w:val="22"/>
        </w:numPr>
        <w:spacing w:after="0" w:line="240" w:lineRule="auto"/>
        <w:jc w:val="both"/>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الفصل الدراسى الأول للعام الدراسى (2024-2025)م</w:t>
      </w:r>
    </w:p>
    <w:p>
      <w:pPr>
        <w:spacing w:before="120" w:after="120"/>
        <w:ind w:left="41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فروض البحث:</w:t>
      </w:r>
    </w:p>
    <w:p>
      <w:pPr>
        <w:spacing w:before="120" w:after="120"/>
        <w:ind w:left="410"/>
        <w:jc w:val="both"/>
        <w:rPr>
          <w:rFonts w:ascii="Simplified Arabic" w:hAnsi="Simplified Arabic" w:cs="Simplified Arabic"/>
          <w:sz w:val="28"/>
          <w:szCs w:val="28"/>
          <w:rtl/>
          <w:lang w:bidi="ar-EG"/>
        </w:rPr>
      </w:pPr>
      <w:r>
        <w:rPr>
          <w:rFonts w:cs="Simplified Arabic" w:hint="cs"/>
          <w:sz w:val="28"/>
          <w:szCs w:val="28"/>
          <w:rtl/>
        </w:rPr>
        <w:t>-"يوجد فرق ذو دلالة إحصائية عند مستوى دلالة (</w:t>
      </w:r>
      <w:r>
        <w:rPr>
          <w:sz w:val="28"/>
          <w:szCs w:val="28"/>
        </w:rPr>
        <w:t>α</w:t>
      </w:r>
      <w:r>
        <w:rPr>
          <w:rFonts w:cs="Simplified Arabic"/>
          <w:sz w:val="28"/>
          <w:szCs w:val="28"/>
        </w:rPr>
        <w:t xml:space="preserve"> </w:t>
      </w:r>
      <w:r>
        <w:rPr>
          <w:sz w:val="28"/>
          <w:szCs w:val="28"/>
        </w:rPr>
        <w:t>≤</w:t>
      </w:r>
      <w:r>
        <w:rPr>
          <w:rFonts w:cs="Simplified Arabic"/>
          <w:sz w:val="28"/>
          <w:szCs w:val="28"/>
        </w:rPr>
        <w:t xml:space="preserve"> 0.05</w:t>
      </w:r>
      <w:r>
        <w:rPr>
          <w:rFonts w:cs="Simplified Arabic" w:hint="cs"/>
          <w:sz w:val="28"/>
          <w:szCs w:val="28"/>
          <w:rtl/>
        </w:rPr>
        <w:t>) بين متوسطى درجات طلاب المجموعة التجريبية فى التطبيقين القبلى والبعدى لمقياس الاتجاه ككل وفى كل بعد على حده، لصالح درجات الطلاب في التطبيق البعدى"</w:t>
      </w:r>
    </w:p>
    <w:p>
      <w:pPr>
        <w:spacing w:before="120" w:after="120"/>
        <w:ind w:left="410" w:hanging="41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إجراءات البحث:</w:t>
      </w:r>
    </w:p>
    <w:p>
      <w:pPr>
        <w:spacing w:before="120" w:after="120"/>
        <w:ind w:left="410" w:hanging="41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سارت إجراءات البحث الحالى وفقاً للخطوات الآتية:</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أولاً:بناء البرنامج القائم على نظرية التعلم الخبراتي ، لتنمية الإتجاه نحو الماده لدى طلاب المرحلة الثانوية، وذلك من خلال:</w:t>
      </w:r>
    </w:p>
    <w:p>
      <w:pPr>
        <w:spacing w:before="120" w:after="1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 تحديد كل من:</w:t>
      </w:r>
    </w:p>
    <w:p>
      <w:pPr>
        <w:numPr>
          <w:ilvl w:val="0"/>
          <w:numId w:val="13"/>
        </w:numPr>
        <w:spacing w:before="120" w:after="120"/>
        <w:contextual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أسس بناء البرنامج</w:t>
      </w:r>
    </w:p>
    <w:p>
      <w:pPr>
        <w:numPr>
          <w:ilvl w:val="0"/>
          <w:numId w:val="13"/>
        </w:numPr>
        <w:spacing w:before="120" w:after="120"/>
        <w:contextual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أهداف البرنامج</w:t>
      </w:r>
    </w:p>
    <w:p>
      <w:pPr>
        <w:numPr>
          <w:ilvl w:val="0"/>
          <w:numId w:val="13"/>
        </w:numPr>
        <w:spacing w:before="120" w:after="120"/>
        <w:contextual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اختيار محتوى البرنامج وتنظيمه</w:t>
      </w:r>
    </w:p>
    <w:p>
      <w:pPr>
        <w:numPr>
          <w:ilvl w:val="0"/>
          <w:numId w:val="13"/>
        </w:numPr>
        <w:spacing w:before="120" w:after="120"/>
        <w:contextual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الإستراتيجيات وأساليب التدريس المستخدمة في البرنامج</w:t>
      </w:r>
    </w:p>
    <w:p>
      <w:pPr>
        <w:numPr>
          <w:ilvl w:val="0"/>
          <w:numId w:val="13"/>
        </w:numPr>
        <w:spacing w:before="120" w:after="120"/>
        <w:contextual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الوسائل والأنشطة التعليمية المستخدمة في البرنامج</w:t>
      </w:r>
    </w:p>
    <w:p>
      <w:pPr>
        <w:numPr>
          <w:ilvl w:val="0"/>
          <w:numId w:val="13"/>
        </w:numPr>
        <w:spacing w:before="120" w:after="120"/>
        <w:contextual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أساليب التقويم المناسبة</w:t>
      </w:r>
    </w:p>
    <w:p>
      <w:pPr>
        <w:numPr>
          <w:ilvl w:val="0"/>
          <w:numId w:val="13"/>
        </w:numPr>
        <w:spacing w:before="120" w:after="120"/>
        <w:contextual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إعداد دليل المعلم لتوضيح إجراءات البرنامج</w:t>
      </w:r>
    </w:p>
    <w:p>
      <w:pPr>
        <w:numPr>
          <w:ilvl w:val="0"/>
          <w:numId w:val="13"/>
        </w:numPr>
        <w:spacing w:before="120" w:after="120"/>
        <w:contextual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عرض البرنامج على السادة المحكمين ، وإجراء التعديلات اللازمه ، ووضعة في صورته النهائية</w:t>
      </w:r>
    </w:p>
    <w:p>
      <w:pPr>
        <w:spacing w:before="120" w:after="120"/>
        <w:ind w:left="140" w:hanging="9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 xml:space="preserve">ثالثاً:تحديد فاعلية البرنامج القائم على نظرية التعلم الخبراتي في </w:t>
      </w:r>
      <w:r>
        <w:rPr>
          <w:rFonts w:ascii="Simplified Arabic" w:hAnsi="Simplified Arabic" w:cs="Simplified Arabic" w:hint="cs"/>
          <w:b/>
          <w:bCs/>
          <w:sz w:val="28"/>
          <w:szCs w:val="28"/>
          <w:rtl/>
          <w:lang w:bidi="ar-EG"/>
        </w:rPr>
        <w:t xml:space="preserve">تنمية الإتجاه نحو الماده </w:t>
      </w:r>
      <w:r>
        <w:rPr>
          <w:rFonts w:ascii="Simplified Arabic" w:hAnsi="Simplified Arabic" w:cs="Simplified Arabic"/>
          <w:b/>
          <w:bCs/>
          <w:sz w:val="28"/>
          <w:szCs w:val="28"/>
          <w:rtl/>
          <w:lang w:bidi="ar-EG"/>
        </w:rPr>
        <w:t xml:space="preserve"> ، وذلك من خلال:</w:t>
      </w:r>
    </w:p>
    <w:p>
      <w:pPr>
        <w:spacing w:before="120" w:after="120"/>
        <w:ind w:left="140" w:hanging="90"/>
        <w:rPr>
          <w:rFonts w:ascii="Simplified Arabic" w:hAnsi="Simplified Arabic" w:cs="Simplified Arabic"/>
          <w:sz w:val="28"/>
          <w:szCs w:val="28"/>
          <w:rtl/>
          <w:lang w:bidi="ar-EG"/>
        </w:rPr>
      </w:pPr>
      <w:r>
        <w:rPr>
          <w:rFonts w:ascii="Simplified Arabic" w:hAnsi="Simplified Arabic" w:cs="Simplified Arabic"/>
          <w:sz w:val="28"/>
          <w:szCs w:val="28"/>
          <w:rtl/>
          <w:lang w:bidi="ar-EG"/>
        </w:rPr>
        <w:t>أ‌-</w:t>
      </w:r>
      <w:r>
        <w:rPr>
          <w:rFonts w:ascii="Simplified Arabic" w:hAnsi="Simplified Arabic" w:cs="Simplified Arabic"/>
          <w:sz w:val="28"/>
          <w:szCs w:val="28"/>
          <w:rtl/>
          <w:lang w:bidi="ar-EG"/>
        </w:rPr>
        <w:tab/>
        <w:t xml:space="preserve">اختيار </w:t>
      </w:r>
      <w:r>
        <w:rPr>
          <w:rFonts w:ascii="Simplified Arabic" w:hAnsi="Simplified Arabic" w:cs="Simplified Arabic" w:hint="cs"/>
          <w:sz w:val="28"/>
          <w:szCs w:val="28"/>
          <w:rtl/>
          <w:lang w:bidi="ar-EG"/>
        </w:rPr>
        <w:t>مجموعة</w:t>
      </w:r>
      <w:r>
        <w:rPr>
          <w:rFonts w:ascii="Simplified Arabic" w:hAnsi="Simplified Arabic" w:cs="Simplified Arabic"/>
          <w:sz w:val="28"/>
          <w:szCs w:val="28"/>
          <w:rtl/>
          <w:lang w:bidi="ar-EG"/>
        </w:rPr>
        <w:t xml:space="preserve"> البحث</w:t>
      </w:r>
    </w:p>
    <w:p>
      <w:pPr>
        <w:spacing w:before="120" w:after="120"/>
        <w:ind w:left="140" w:hanging="90"/>
        <w:rPr>
          <w:rFonts w:ascii="Simplified Arabic" w:hAnsi="Simplified Arabic" w:cs="Simplified Arabic"/>
          <w:sz w:val="28"/>
          <w:szCs w:val="28"/>
          <w:rtl/>
          <w:lang w:bidi="ar-EG"/>
        </w:rPr>
      </w:pPr>
      <w:r>
        <w:rPr>
          <w:rFonts w:ascii="Simplified Arabic" w:hAnsi="Simplified Arabic" w:cs="Simplified Arabic"/>
          <w:sz w:val="28"/>
          <w:szCs w:val="28"/>
          <w:rtl/>
          <w:lang w:bidi="ar-EG"/>
        </w:rPr>
        <w:t>ب‌-</w:t>
      </w:r>
      <w:r>
        <w:rPr>
          <w:rFonts w:ascii="Simplified Arabic" w:hAnsi="Simplified Arabic" w:cs="Simplified Arabic"/>
          <w:sz w:val="28"/>
          <w:szCs w:val="28"/>
          <w:rtl/>
          <w:lang w:bidi="ar-EG"/>
        </w:rPr>
        <w:tab/>
        <w:t xml:space="preserve"> التطبيق القبلي لأداتي البحث</w:t>
      </w:r>
    </w:p>
    <w:p>
      <w:pPr>
        <w:spacing w:before="120" w:after="120"/>
        <w:ind w:left="140" w:hanging="90"/>
        <w:rPr>
          <w:rFonts w:ascii="Simplified Arabic" w:hAnsi="Simplified Arabic" w:cs="Simplified Arabic"/>
          <w:sz w:val="28"/>
          <w:szCs w:val="28"/>
          <w:rtl/>
          <w:lang w:bidi="ar-EG"/>
        </w:rPr>
      </w:pPr>
      <w:r>
        <w:rPr>
          <w:rFonts w:ascii="Simplified Arabic" w:hAnsi="Simplified Arabic" w:cs="Simplified Arabic"/>
          <w:sz w:val="28"/>
          <w:szCs w:val="28"/>
          <w:rtl/>
          <w:lang w:bidi="ar-EG"/>
        </w:rPr>
        <w:t>ج- التدريس لمجموعة البحث وفقاً للبرنامج المقترح</w:t>
      </w:r>
    </w:p>
    <w:p>
      <w:pPr>
        <w:spacing w:before="120" w:after="120"/>
        <w:ind w:left="140" w:hanging="90"/>
        <w:rPr>
          <w:rFonts w:ascii="Simplified Arabic" w:hAnsi="Simplified Arabic" w:cs="Simplified Arabic"/>
          <w:sz w:val="28"/>
          <w:szCs w:val="28"/>
          <w:rtl/>
          <w:lang w:bidi="ar-EG"/>
        </w:rPr>
      </w:pPr>
      <w:r>
        <w:rPr>
          <w:rFonts w:ascii="Simplified Arabic" w:hAnsi="Simplified Arabic" w:cs="Simplified Arabic"/>
          <w:sz w:val="28"/>
          <w:szCs w:val="28"/>
          <w:rtl/>
          <w:lang w:bidi="ar-EG"/>
        </w:rPr>
        <w:t>د- التطبيق البعدى لأداتي البحث</w:t>
      </w:r>
    </w:p>
    <w:p>
      <w:pPr>
        <w:spacing w:before="120" w:after="120"/>
        <w:ind w:left="140" w:hanging="90"/>
        <w:rPr>
          <w:rFonts w:ascii="Simplified Arabic" w:hAnsi="Simplified Arabic" w:cs="Simplified Arabic"/>
          <w:sz w:val="28"/>
          <w:szCs w:val="28"/>
          <w:rtl/>
          <w:lang w:bidi="ar-EG"/>
        </w:rPr>
      </w:pPr>
      <w:r>
        <w:rPr>
          <w:rFonts w:ascii="Simplified Arabic" w:hAnsi="Simplified Arabic" w:cs="Simplified Arabic"/>
          <w:sz w:val="28"/>
          <w:szCs w:val="28"/>
          <w:rtl/>
          <w:lang w:bidi="ar-EG"/>
        </w:rPr>
        <w:t>خامساً: رصد البيانات ومعالجتها إحصائياً</w:t>
      </w:r>
    </w:p>
    <w:p>
      <w:pPr>
        <w:spacing w:before="120" w:after="120"/>
        <w:ind w:left="140" w:hanging="90"/>
        <w:rPr>
          <w:rFonts w:ascii="Simplified Arabic" w:hAnsi="Simplified Arabic" w:cs="Simplified Arabic"/>
          <w:sz w:val="28"/>
          <w:szCs w:val="28"/>
          <w:rtl/>
          <w:lang w:bidi="ar-EG"/>
        </w:rPr>
      </w:pPr>
      <w:r>
        <w:rPr>
          <w:rFonts w:ascii="Simplified Arabic" w:hAnsi="Simplified Arabic" w:cs="Simplified Arabic"/>
          <w:sz w:val="28"/>
          <w:szCs w:val="28"/>
          <w:rtl/>
          <w:lang w:bidi="ar-EG"/>
        </w:rPr>
        <w:t>سادساً:عرض النتائج وتحليلها وتفسيرها</w:t>
      </w:r>
    </w:p>
    <w:p>
      <w:pPr>
        <w:spacing w:before="120" w:after="120"/>
        <w:ind w:left="140" w:hanging="9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سابعاً:تقديم التوصيات والمقترحات</w:t>
      </w:r>
      <w:r>
        <w:rPr>
          <w:rFonts w:ascii="Simplified Arabic" w:hAnsi="Simplified Arabic" w:cs="Simplified Arabic" w:hint="cs"/>
          <w:sz w:val="28"/>
          <w:szCs w:val="28"/>
          <w:rtl/>
          <w:lang w:bidi="ar-EG"/>
        </w:rPr>
        <w:t>.</w:t>
      </w:r>
    </w:p>
    <w:p>
      <w:pPr>
        <w:spacing w:before="120" w:after="120"/>
        <w:ind w:left="140" w:hanging="9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مصطلحات البحث:</w:t>
      </w:r>
    </w:p>
    <w:p>
      <w:pPr>
        <w:pStyle w:val="ListParagraph"/>
        <w:numPr>
          <w:ilvl w:val="0"/>
          <w:numId w:val="24"/>
        </w:numPr>
        <w:spacing w:before="120" w:after="120"/>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نظرية التعلم الخبراتى:</w:t>
      </w:r>
    </w:p>
    <w:p>
      <w:pPr>
        <w:spacing w:before="120" w:after="120"/>
        <w:ind w:left="5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مجموعة من الإجراءات والأنشطة التى يقوم بها المعلم عند تدريس مادة الفلسفة  ، وتتطلب مرور المتعلمين بخبرة مباشرة جديدة ، وتضمن مجموعة من المراحل المتتابعة هى (الخبرة المحسوسة- الملاحظة التأملية- التجريد-التجريب العملى) بحيث تساعد المتعلم على بناء المعرفة بنفسه.</w:t>
      </w:r>
    </w:p>
    <w:p>
      <w:pPr>
        <w:pStyle w:val="ListParagraph"/>
        <w:numPr>
          <w:ilvl w:val="0"/>
          <w:numId w:val="24"/>
        </w:numPr>
        <w:spacing w:before="120" w:after="120"/>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الإتجاه نحو الماده:</w:t>
      </w:r>
    </w:p>
    <w:p>
      <w:pPr>
        <w:spacing w:before="120" w:after="120"/>
        <w:ind w:left="5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الموقف الذى يتخذه طالب المرحلة الثانوية سواء بالقبول أو الرفض تجاه موقف أو حدث أو مشكلة حياتية بعد مروره بخبره معينه ويقاس وفق المقياس المعد لذلك.</w:t>
      </w:r>
    </w:p>
    <w:p>
      <w:pPr>
        <w:spacing w:before="120" w:after="120"/>
        <w:ind w:left="5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الإطار النظرى:</w:t>
      </w:r>
    </w:p>
    <w:p>
      <w:pPr>
        <w:spacing w:before="120" w:after="120"/>
        <w:ind w:left="5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1-المحور الأول : الإتجاه نحو الماده :</w:t>
      </w:r>
    </w:p>
    <w:p>
      <w:pPr>
        <w:spacing w:before="240" w:after="0" w:line="240" w:lineRule="auto"/>
        <w:ind w:left="-1" w:firstLine="7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تتعددت الآراء حول مفهوم الإتجاه، حيث يتفق معظم علماء النفس الإجتماعى على أن الإتجاه خبره شخصية ثابته نسبياً ، تتضمن تقويماً لأشخاص وقضايا أو أشياء ويكون التقويم إما إيجاباً أو سلبياً.</w:t>
      </w:r>
    </w:p>
    <w:p>
      <w:pPr>
        <w:spacing w:before="240" w:after="0" w:line="240" w:lineRule="auto"/>
        <w:ind w:left="-1" w:firstLine="7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ويرى اللقانى والجمل(2003: 7) أن الإتجاه عبارة عن حالة من الإستعداد العقلى تولد تأثيراً دينامياً على إستجابة الفرد ، تساعدة على إتخاذ القرارات المناسبة سواء أكانت بالرفض أو بالقبول فيما يتعرض له من مواقف ومشكلات .</w:t>
      </w:r>
    </w:p>
    <w:p>
      <w:pPr>
        <w:spacing w:before="240" w:after="0" w:line="240" w:lineRule="auto"/>
        <w:ind w:left="-1" w:firstLine="7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كما عرفه كلاً من شحاته والنجار(2003: 16) على أنه موقف يتخذه الفرد أو إستجابة يبديها تجاه شئ معين أو قضية معينه ، إما بلقبول أو الرفض نتيجة مرورة بخبرة معينه ، كما أنه موقف أو ميل راسخ نسبياً سواء أكان رأياً أم إهتماماً أم غرضاً يرتبط بتأهب لإستجابة مناسبة .</w:t>
      </w:r>
    </w:p>
    <w:p>
      <w:pPr>
        <w:spacing w:before="240" w:after="0" w:line="240" w:lineRule="auto"/>
        <w:ind w:left="-1" w:firstLine="7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ويعد تعريف ألبورت  من أشهر التعريفات التى وردت عن الإتجاه حيث عرفه أنه حاله من الإستعداد العقلى والعصبى تنتظم من خلاله خبره الفرد وتوجه واستجابته نحو موضوع معين(الدريج،2011: 16).</w:t>
      </w:r>
    </w:p>
    <w:p>
      <w:pPr>
        <w:spacing w:before="240" w:after="120" w:line="240" w:lineRule="auto"/>
        <w:ind w:left="-1" w:firstLine="7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ويعرفه (سليمان،2013: 67) بأنه عبارة عن استجابات الطالب من حيث القبول أو الرفض إزاء مادة الفلسفة بالمرحلة الثانوية .</w:t>
      </w:r>
    </w:p>
    <w:p>
      <w:pPr>
        <w:spacing w:before="240" w:after="120" w:line="240" w:lineRule="auto"/>
        <w:ind w:left="-1" w:firstLine="7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ويعرفه(</w:t>
      </w:r>
      <w:r>
        <w:rPr>
          <w:rFonts w:ascii="Simplified Arabic" w:hAnsi="Simplified Arabic" w:cs="Simplified Arabic"/>
          <w:sz w:val="28"/>
          <w:szCs w:val="28"/>
          <w:lang w:bidi="ar-EG"/>
        </w:rPr>
        <w:t>Demirel,M&amp;Daygar,2015;2116</w:t>
      </w:r>
      <w:r>
        <w:rPr>
          <w:rFonts w:ascii="Simplified Arabic" w:hAnsi="Simplified Arabic" w:cs="Simplified Arabic" w:hint="cs"/>
          <w:sz w:val="28"/>
          <w:szCs w:val="28"/>
          <w:rtl/>
          <w:lang w:bidi="ar-EG"/>
        </w:rPr>
        <w:t>) أن الإتجاه عبارة عن إستجابة الأفراد لمشكلة ما أو موقف ما يتعرضون له ، وفقاً لخبراتهم السابقة ، ويستدل على الإتجاهات من خلال استجاباتهم لمعالجة هذه المواقف.</w:t>
      </w:r>
    </w:p>
    <w:p>
      <w:pPr>
        <w:spacing w:before="240" w:after="120" w:line="240" w:lineRule="auto"/>
        <w:ind w:left="-1" w:firstLine="7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ويعرفه متولى(2019: 53) بأنه مجموعة إستجابات طلاب الصف الثانى الثانوى ، بالقبول أو الرفض أو الحياد تجاه بنود مقياس الإتجاه نحو مادة الفلسفة ( الذى أعدته الباحثة)، ويقاس بالدرجة الكلية التى يحصل عليها الطالب على المقياس المعد لذلك الغرض.</w:t>
      </w:r>
    </w:p>
    <w:p>
      <w:pPr>
        <w:spacing w:before="240" w:after="0" w:line="240" w:lineRule="auto"/>
        <w:ind w:left="-1" w:firstLine="709"/>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وتعرفه الباحثة إجرائياً بأنه:الموقف الذى يتخذه طالب المرحلة الثانوية سواء بالقبول أو الرفض تجاه موقف أو حدث أو مشكلة حياتية بعد مروره بخبره معينه ويقاس وفق المقياس المعد لذلك</w:t>
      </w:r>
    </w:p>
    <w:p>
      <w:pPr>
        <w:spacing w:before="240" w:after="0" w:line="240" w:lineRule="auto"/>
        <w:ind w:left="-1" w:firstLine="7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إن المواد الإجتماعية هدفها إكتساب التلاميذ الإتجاهات المرغوبة ، ولتحقيق ذلك الهدف ينبغى أن تقدم المعلومات والحقائق والمفاهيم بطريقة مسايرة مع ما كشفت عنه الدراسات التربوية، من مستويات الجانب المعرفى ، ومراعاة الإنفجار المعرفى وروح العصر. (جامل، 2015: 27)</w:t>
      </w:r>
    </w:p>
    <w:p>
      <w:pPr>
        <w:spacing w:before="240" w:after="120" w:line="240" w:lineRule="auto"/>
        <w:ind w:left="-1" w:firstLine="70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وعلى الرغم من أن لمادة الفلسفة أهمية بالغة فإن الواقع يشير إلى  وجود اتجاهات سلبية لدى الطلاب نحو دراسة مادة الفلسفة ، مما أدى بدوره إلى عزوفهم عن دراستها ، كما نجد أن مادة الفلسفة تعاني من قصور واضح في طرائق تناولها والذي بدوره يعوقها عن تحقيق ما تسعى إليه من أهداف،ولذلك تؤكد الدراسات والبحوث أهمية استخدام طرائق جديدة تعزز مادة الفلسفة وتساعدها على تحقيق الأهداف التعليمية(سليمان،2013: 63).</w:t>
      </w:r>
    </w:p>
    <w:p>
      <w:pPr>
        <w:spacing w:before="240" w:after="120" w:line="240" w:lineRule="auto"/>
        <w:ind w:left="-1" w:firstLine="7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وقد أرجعت بعض الدراسات سبب تقلص دور منهج الفلسفة بالمرحلة الثانوية في إشباع احتياجات الطلاب إلى عزوف الطلاب أنفسهم عن دراسة الفلسفة، وذلك نتيجة لعدد من المعوقات من بينها عدم إدراك الطلاب لأهمية مادة الفلسفة بالمرحلة الثانوية(سلامة،2001: 54)</w:t>
      </w:r>
    </w:p>
    <w:p>
      <w:pPr>
        <w:spacing w:before="240" w:after="120" w:line="240" w:lineRule="auto"/>
        <w:ind w:left="-1" w:firstLine="7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وقد أكد زيدان (2001: 140) أن لاتجاه الطلاب نحو مادة الفلسفة أهمية كبيرة ، لما لديهم من طبيعة خاصة ، تتأثر بما يدرسون أو ما يدرس لهم ، فلابد من العناية بتنمية الاتجاهات الإيجابية نحو مادة الفلسفة، فالكثيرون منهم ليس لديهم الرغبة في دراسة المادة ،اعتقاداً منهم أنها تشوش معتقداتهم وتتعارض معها.</w:t>
      </w:r>
    </w:p>
    <w:p>
      <w:pPr>
        <w:spacing w:before="240" w:after="120" w:line="240" w:lineRule="auto"/>
        <w:ind w:left="-1" w:firstLine="709"/>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وقد أشار محمد (2006: 66) أن عزوف بعض الطلاب عن دراسة مادة الفلسفة أو حفظها لمجرد إجتياز الإمتحان ، وربما يرجع إلى تجريد بعض الموضوعات لطبيعة المواد الفلسفية ، والى الطرق التى يتبعها المعلمون فى تدريسها ، الأمر الذى أصبح ملزماً لإستخدام طرائق وإسترتيجيات تدريسية للتغلب على القصور الواضح فى الطرق المعتادة وجذب الطلاب لدراستها. </w:t>
      </w:r>
    </w:p>
    <w:p>
      <w:pPr>
        <w:spacing w:after="120" w:line="240" w:lineRule="auto"/>
        <w:ind w:left="-1" w:firstLine="709"/>
        <w:contextualSpacing/>
        <w:jc w:val="both"/>
        <w:rPr>
          <w:rFonts w:ascii="Simplified Arabic" w:hAnsi="Simplified Arabic" w:cs="Simplified Arabic"/>
          <w:sz w:val="12"/>
          <w:szCs w:val="12"/>
          <w:rtl/>
          <w:lang w:bidi="ar-EG"/>
        </w:rPr>
      </w:pPr>
    </w:p>
    <w:p>
      <w:pPr>
        <w:spacing w:before="120" w:after="120"/>
        <w:ind w:left="5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وقد أكدت العديد من الدراسات كدراسة (بلابل،2014)، ودراسة حمزه(2016)، ودراسة متولى(2019) ضرورة تعديل الإتجاهات نحو مادة الفلسفة نظراً لإعتماد الطرائق المتبعة فى تدريسها على كثرة الحفظ وتلقين المعلومات  وحشوها فى أذهان الطلاب ، كما أن الفلسفة بطبيعتها كمادة دراسية تسهم فى النمو العقلى للطالب ، وتدفعه إلى تنمية مهاراته العقلية من ( التفسير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الإستنتاج-التحليل-ووزن الأدلة-وإدراك العلاقات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والنقد) وتدفعه إلى تغيير إتجاهه</w:t>
      </w:r>
    </w:p>
    <w:p>
      <w:pPr>
        <w:spacing w:before="240" w:after="0" w:line="240" w:lineRule="auto"/>
        <w:ind w:left="-1" w:firstLine="709"/>
        <w:jc w:val="both"/>
        <w:rPr>
          <w:rFonts w:ascii="Simplified Arabic" w:eastAsia="Times New Roman" w:hAnsi="Simplified Arabic" w:cs="Simplified Arabic"/>
          <w:color w:val="000000"/>
          <w:kern w:val="24"/>
          <w:sz w:val="28"/>
          <w:szCs w:val="28"/>
          <w:rtl/>
          <w:lang w:bidi="ar-EG"/>
        </w:rPr>
      </w:pPr>
      <w:r>
        <w:rPr>
          <w:rFonts w:ascii="Simplified Arabic" w:eastAsia="Times New Roman" w:hAnsi="Simplified Arabic" w:cs="Simplified Arabic" w:hint="cs"/>
          <w:color w:val="000000"/>
          <w:kern w:val="24"/>
          <w:sz w:val="28"/>
          <w:szCs w:val="28"/>
          <w:rtl/>
          <w:lang w:bidi="ar-EG"/>
        </w:rPr>
        <w:t xml:space="preserve">وترى الباحثة أن </w:t>
      </w:r>
      <w:r>
        <w:rPr>
          <w:rFonts w:ascii="Simplified Arabic" w:eastAsia="Times New Roman" w:hAnsi="Simplified Arabic" w:cs="Simplified Arabic"/>
          <w:color w:val="000000"/>
          <w:kern w:val="24"/>
          <w:sz w:val="28"/>
          <w:szCs w:val="28"/>
          <w:rtl/>
          <w:lang w:bidi="ar-EG"/>
        </w:rPr>
        <w:t xml:space="preserve">لتنمية الإتجاه نحو مادة الفلسفة أهمية كبيرة، نظراً لإعتقاد بعض الطلاب أنها قد تتضمن بعض الآراء الفلسفية التى تتعارض مع معتقداتهم الدينية وأن دراسة الفلسفة قد تؤدى </w:t>
      </w:r>
      <w:r>
        <w:rPr>
          <w:rFonts w:ascii="Simplified Arabic" w:eastAsia="Times New Roman" w:hAnsi="Simplified Arabic" w:cs="Simplified Arabic"/>
          <w:color w:val="000000"/>
          <w:kern w:val="24"/>
          <w:sz w:val="28"/>
          <w:szCs w:val="28"/>
          <w:rtl/>
          <w:lang w:bidi="ar-EG"/>
        </w:rPr>
        <w:lastRenderedPageBreak/>
        <w:t>إلى الإلحاد أو الجنون بالإضافة إلى طرائق وإستراتيجيات التدريس فى مادة الفلسفة والذى يعيقها عن تحقيق أهدافها ولذ لابد من الإهتمام بالكيفية التى يتم بها تناول الموضوعات حتى تساعد الطلاب على تنمية الإتجاهات الإيجابية نحو المادة</w:t>
      </w:r>
      <w:r>
        <w:rPr>
          <w:rFonts w:ascii="Simplified Arabic" w:eastAsia="Times New Roman" w:hAnsi="Simplified Arabic" w:cs="Simplified Arabic" w:hint="cs"/>
          <w:color w:val="000000"/>
          <w:kern w:val="24"/>
          <w:sz w:val="28"/>
          <w:szCs w:val="28"/>
          <w:rtl/>
          <w:lang w:bidi="ar-EG"/>
        </w:rPr>
        <w:t xml:space="preserve"> وعمق المعرفة لمادة التعلم.</w:t>
      </w:r>
    </w:p>
    <w:p>
      <w:pPr>
        <w:numPr>
          <w:ilvl w:val="0"/>
          <w:numId w:val="39"/>
        </w:numPr>
        <w:spacing w:before="240" w:after="0" w:line="240" w:lineRule="auto"/>
        <w:ind w:left="424" w:hanging="425"/>
        <w:contextualSpacing/>
        <w:jc w:val="both"/>
        <w:rPr>
          <w:rFonts w:ascii="Simplified Arabic" w:hAnsi="Simplified Arabic" w:cs="SKR HEAD1"/>
          <w:sz w:val="32"/>
          <w:szCs w:val="32"/>
          <w:rtl/>
          <w:lang w:bidi="ar-EG"/>
        </w:rPr>
      </w:pPr>
      <w:r>
        <w:rPr>
          <w:rFonts w:ascii="Simplified Arabic" w:hAnsi="Simplified Arabic" w:cs="SKR HEAD1" w:hint="cs"/>
          <w:sz w:val="32"/>
          <w:szCs w:val="32"/>
          <w:rtl/>
          <w:lang w:bidi="ar-EG"/>
        </w:rPr>
        <w:t>ومن الدراسات التى اهتمت بالاتجاه نحو مادة الفلسفة</w:t>
      </w:r>
    </w:p>
    <w:p>
      <w:pPr>
        <w:numPr>
          <w:ilvl w:val="0"/>
          <w:numId w:val="5"/>
        </w:numPr>
        <w:spacing w:before="240" w:after="120" w:line="240" w:lineRule="auto"/>
        <w:ind w:left="282" w:hanging="283"/>
        <w:contextualSpacing/>
        <w:jc w:val="both"/>
        <w:rPr>
          <w:rFonts w:ascii="Simplified Arabic" w:hAnsi="Simplified Arabic" w:cs="Simplified Arabic"/>
          <w:sz w:val="28"/>
          <w:szCs w:val="28"/>
          <w:lang w:bidi="ar-EG"/>
        </w:rPr>
      </w:pPr>
      <w:r>
        <w:rPr>
          <w:rFonts w:ascii="Simplified Arabic" w:hAnsi="Simplified Arabic" w:cs="Simplified Arabic"/>
          <w:b/>
          <w:bCs/>
          <w:sz w:val="28"/>
          <w:szCs w:val="28"/>
          <w:rtl/>
          <w:lang w:bidi="ar-EG"/>
        </w:rPr>
        <w:t>دراسة</w:t>
      </w:r>
      <w:r>
        <w:rPr>
          <w:rFonts w:ascii="Simplified Arabic" w:hAnsi="Simplified Arabic" w:cs="Simplified Arabic" w:hint="cs"/>
          <w:sz w:val="28"/>
          <w:szCs w:val="28"/>
          <w:rtl/>
          <w:lang w:bidi="ar-EG"/>
        </w:rPr>
        <w:t xml:space="preserve"> </w:t>
      </w:r>
      <w:r>
        <w:rPr>
          <w:rFonts w:ascii="Simplified Arabic" w:hAnsi="Simplified Arabic" w:cs="Simplified Arabic" w:hint="cs"/>
          <w:b/>
          <w:bCs/>
          <w:sz w:val="28"/>
          <w:szCs w:val="28"/>
          <w:rtl/>
          <w:lang w:bidi="ar-EG"/>
        </w:rPr>
        <w:t>سليمان(2013):</w:t>
      </w:r>
      <w:r>
        <w:rPr>
          <w:rFonts w:ascii="Simplified Arabic" w:hAnsi="Simplified Arabic" w:cs="Simplified Arabic" w:hint="cs"/>
          <w:sz w:val="28"/>
          <w:szCs w:val="28"/>
          <w:rtl/>
          <w:lang w:bidi="ar-EG"/>
        </w:rPr>
        <w:t>هدفت هذه الدراسة إلى تنمية الاتجاه نحو مادة الفلسفة من خلال المدخل الجمالى لدي عينة من طلاب المرحلة الثانوية ،وتوصلت النتائج إلى وجود فروق ذات دلالة إحصائية بين متوسط درجات الطلاب في المجموعة التجريبية ومتوسط درجات الطلاب في المجموعة الضابطة لصالح التطبيق البعدي للمجموعة التجريبية ، وأكدت الدراسة وجود علاقة وثيقة بين الاتجاه والقيم في مادة الفلسفة .</w:t>
      </w:r>
    </w:p>
    <w:p>
      <w:pPr>
        <w:numPr>
          <w:ilvl w:val="0"/>
          <w:numId w:val="5"/>
        </w:numPr>
        <w:spacing w:before="240" w:after="120" w:line="240" w:lineRule="auto"/>
        <w:ind w:left="282" w:hanging="283"/>
        <w:contextualSpacing/>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دراسة بلابل (2014):</w:t>
      </w:r>
      <w:r>
        <w:rPr>
          <w:rFonts w:ascii="Simplified Arabic" w:hAnsi="Simplified Arabic" w:cs="Simplified Arabic" w:hint="cs"/>
          <w:sz w:val="28"/>
          <w:szCs w:val="28"/>
          <w:rtl/>
          <w:lang w:bidi="ar-EG"/>
        </w:rPr>
        <w:t xml:space="preserve"> هدفت إلى تنمية الاتجاه نحو مادة الفلسفة لدى طلاب الصف الثاني الثانوى ، واستخدمت الدراسة مقياس الاتجاه نحو المادة ، وتوصلت النتائج إلى وجود فروق ذات دلالة إحصائية بين متوسطي درجات المجموعتين التجريبية والضابطة في نتائج التطبيق البعدي لمقياس الاتجاه نحو تدريس الفلسفة لصالح درجات المجموعة التجريبية.</w:t>
      </w:r>
    </w:p>
    <w:p>
      <w:pPr>
        <w:numPr>
          <w:ilvl w:val="0"/>
          <w:numId w:val="5"/>
        </w:numPr>
        <w:spacing w:before="240" w:after="120" w:line="240" w:lineRule="auto"/>
        <w:ind w:left="282" w:hanging="283"/>
        <w:contextualSpacing/>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دراسة يوسف(2014) :</w:t>
      </w:r>
      <w:r>
        <w:rPr>
          <w:rFonts w:ascii="Simplified Arabic" w:hAnsi="Simplified Arabic" w:cs="Simplified Arabic" w:hint="cs"/>
          <w:sz w:val="28"/>
          <w:szCs w:val="28"/>
          <w:rtl/>
          <w:lang w:bidi="ar-EG"/>
        </w:rPr>
        <w:t xml:space="preserve"> هدفت إلى تنمية الاتجاه نحو مادة الفلسفة من خلال نظرية التعلم المستند إلى الدماغ لدى عينة من طلاب الصف الأول الثانوى بمدارس المتفوقين ، وتوصلت نتائج الدراسة إلى وجود فروق ذات دلالة إحصائية بين متوسط درجات طلاب المجموعة التجريبية ودرجات المجموعة الضابطة لصالح التطبيق البعدي للمجموعة التجريبية.</w:t>
      </w:r>
    </w:p>
    <w:p>
      <w:pPr>
        <w:numPr>
          <w:ilvl w:val="0"/>
          <w:numId w:val="5"/>
        </w:numPr>
        <w:spacing w:before="240" w:after="120" w:line="240" w:lineRule="auto"/>
        <w:ind w:left="282" w:hanging="283"/>
        <w:contextualSpacing/>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دراسة حمزة(2017):</w:t>
      </w:r>
      <w:r>
        <w:rPr>
          <w:rFonts w:ascii="Simplified Arabic" w:hAnsi="Simplified Arabic" w:cs="Simplified Arabic" w:hint="cs"/>
          <w:sz w:val="28"/>
          <w:szCs w:val="28"/>
          <w:rtl/>
          <w:lang w:bidi="ar-EG"/>
        </w:rPr>
        <w:t>هدفت إلى تنمية الاتجاه نحو مادة الفلسفة بالصف الأول الثانوي باستخدام طريقة ليبمان في تدريس الفلسفة لدى الطلاب المكفوفين، وتوصلت نتائج الدراسة إلى وجود فروق ذات دلالة إحصائية بين متوسطي درجات الطلاب في التطبيقين القبلي والبعدي لمقياس الاتجاه نحو مادة الفلسفة لصالح التطبيق البعدي.</w:t>
      </w:r>
    </w:p>
    <w:p>
      <w:pPr>
        <w:numPr>
          <w:ilvl w:val="0"/>
          <w:numId w:val="5"/>
        </w:numPr>
        <w:spacing w:before="240" w:after="120" w:line="240" w:lineRule="auto"/>
        <w:ind w:left="282" w:hanging="283"/>
        <w:contextualSpacing/>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 xml:space="preserve">دراسة متولي(2019) </w:t>
      </w:r>
      <w:r>
        <w:rPr>
          <w:rFonts w:ascii="Simplified Arabic" w:hAnsi="Simplified Arabic" w:cs="Simplified Arabic" w:hint="cs"/>
          <w:sz w:val="28"/>
          <w:szCs w:val="28"/>
          <w:rtl/>
          <w:lang w:bidi="ar-EG"/>
        </w:rPr>
        <w:t>هدفت إلى تنمية الاتجاه نحو مادة الفلسفة باستخدام إستراتيجية التعلم القائم على المشكلة ،وتوصلت نتائج الدراسة</w:t>
      </w:r>
      <w:r>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إلى وجود إلى وجود فروق ذات دلالة إحصائية  بين متوسطي درجات طلاب المجموعة التجريبية ودرجات المجموعة الضابطة في التطبيق البعدي لمقياس الاتجاه لصالح المجموعة التجريبية .</w:t>
      </w:r>
    </w:p>
    <w:p>
      <w:pPr>
        <w:numPr>
          <w:ilvl w:val="0"/>
          <w:numId w:val="5"/>
        </w:numPr>
        <w:spacing w:before="240" w:after="120" w:line="240" w:lineRule="auto"/>
        <w:ind w:left="282" w:hanging="283"/>
        <w:contextualSpacing/>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 xml:space="preserve">دراسة إبراهيم(2022) </w:t>
      </w:r>
      <w:r>
        <w:rPr>
          <w:rFonts w:ascii="Simplified Arabic" w:hAnsi="Simplified Arabic" w:cs="Simplified Arabic" w:hint="cs"/>
          <w:sz w:val="28"/>
          <w:szCs w:val="28"/>
          <w:rtl/>
          <w:lang w:bidi="ar-EG"/>
        </w:rPr>
        <w:t>هدفت إلى تعٌرف على فاعلية برنامج تدريبى حول فلسفة ابن رشد لتنمية أبعاد التنور العقلي ، والاتجاه نحو الفلسفة  لدى الطالب المعلم بكلية التربية،وتوصلت نتائج الدراسة إلى أن البرنامج التدريبي حول فلسفة ابن رشد ذو فاعلية في تنمية التنور العقلي والاتجاه نحو الفلسفة لدى الطالب معلم الفلسفة</w:t>
      </w:r>
    </w:p>
    <w:p>
      <w:pPr>
        <w:spacing w:before="240" w:after="120" w:line="240" w:lineRule="auto"/>
        <w:ind w:left="-1" w:firstLine="709"/>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ويتضح من خلال ما تم عرضه من دراسات أنه:</w:t>
      </w:r>
    </w:p>
    <w:p>
      <w:pPr>
        <w:numPr>
          <w:ilvl w:val="0"/>
          <w:numId w:val="16"/>
        </w:numPr>
        <w:spacing w:before="240" w:after="120" w:line="240" w:lineRule="auto"/>
        <w:ind w:left="282" w:hanging="283"/>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أهمية تنمية الاتجاه لدى الطلاب بالمراحل التعليمية المختلفة، ويرجع ذلك إلى أن تنمية الاتجاه تسهم إلى حد كبير في تكوين اتجاهات إيجابية نحو المادة الدراسية .</w:t>
      </w:r>
    </w:p>
    <w:p>
      <w:pPr>
        <w:numPr>
          <w:ilvl w:val="0"/>
          <w:numId w:val="16"/>
        </w:numPr>
        <w:spacing w:before="240" w:after="120" w:line="240" w:lineRule="auto"/>
        <w:ind w:left="282" w:hanging="283"/>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تنوعت العينات المستخدمة ما بين طلاب المرحلة الثانوية كما في دراسة (سليمان،2013) ، ،ومدارس المتفوقين (يوسف،2014) ، وذوى الاحتياجات الخاصة (حمزة،2017)، والمرحلة الجامعية(إبراهيم ،2022)</w:t>
      </w:r>
    </w:p>
    <w:p>
      <w:pPr>
        <w:spacing w:before="240" w:after="0" w:line="240" w:lineRule="auto"/>
        <w:ind w:left="-1" w:firstLine="709"/>
        <w:jc w:val="both"/>
        <w:rPr>
          <w:rFonts w:ascii="Times New Roman" w:eastAsia="Times New Roman" w:hAnsi="Times New Roman" w:cs="Times New Roman"/>
          <w:sz w:val="28"/>
          <w:szCs w:val="28"/>
          <w:rtl/>
          <w:lang w:bidi="ar-EG"/>
        </w:rPr>
      </w:pPr>
      <w:r>
        <w:rPr>
          <w:rFonts w:ascii="Simplified Arabic" w:hAnsi="Simplified Arabic" w:cs="Simplified Arabic" w:hint="cs"/>
          <w:sz w:val="28"/>
          <w:szCs w:val="28"/>
          <w:rtl/>
          <w:lang w:bidi="ar-EG"/>
        </w:rPr>
        <w:t>اتفقت الدراسة الحالية مع الدراسات السابقة  في ضرورة تنمية الاتجاه نحو مادة الفلسفة،إلا أنها تختلف عنها في استخدام برنامج قائم على نظرية التعلم الخبراتي</w:t>
      </w:r>
    </w:p>
    <w:p>
      <w:pPr>
        <w:spacing w:before="120" w:after="120"/>
        <w:ind w:left="50"/>
        <w:jc w:val="both"/>
        <w:rPr>
          <w:rFonts w:ascii="Simplified Arabic" w:hAnsi="Simplified Arabic" w:cs="Simplified Arabic"/>
          <w:b/>
          <w:bCs/>
          <w:sz w:val="28"/>
          <w:szCs w:val="28"/>
          <w:rtl/>
          <w:lang w:bidi="ar-EG"/>
        </w:rPr>
      </w:pPr>
    </w:p>
    <w:p>
      <w:pPr>
        <w:spacing w:before="120" w:after="120"/>
        <w:ind w:left="5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المحور الثانى : نظرية التعلم الخبراتى:</w:t>
      </w:r>
    </w:p>
    <w:p>
      <w:pPr>
        <w:spacing w:before="240" w:after="120" w:line="240" w:lineRule="auto"/>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وترجع أسس نظرية التعلم الخبراتي إلى نظريات التعلم لكل من جون ديوى و بياجيه ووليام جيمس الذين أعطوا الخبرة دوراً مركزياً في نظرياتهم , وأن التعلم  هو بناء مستمر للخبرة  , حيث تعتمد نظرية التعلم الخبراتي على نظرية المعرفة التجريبية أو النظرية الضمنية  للعملية التعليمية حيث تعمل على تغيير سلوك الفرد بناءً على تعرضه لعدد من الخبرات الحياتية والتجارب الميدانية .</w:t>
      </w:r>
      <w:r>
        <w:rPr>
          <w:rFonts w:ascii="Simplified Arabic" w:eastAsia="Times New Roman" w:hAnsi="Simplified Arabic" w:cs="Simplified Arabic"/>
          <w:sz w:val="28"/>
          <w:szCs w:val="28"/>
          <w:lang w:bidi="ar-EG"/>
        </w:rPr>
        <w:t>Kolb,2006:43)</w:t>
      </w:r>
      <w:r>
        <w:rPr>
          <w:rFonts w:ascii="Simplified Arabic" w:eastAsia="Times New Roman" w:hAnsi="Simplified Arabic" w:cs="Simplified Arabic"/>
          <w:sz w:val="28"/>
          <w:szCs w:val="28"/>
          <w:rtl/>
          <w:lang w:bidi="ar-EG"/>
        </w:rPr>
        <w:t>)</w:t>
      </w:r>
    </w:p>
    <w:p>
      <w:pPr>
        <w:spacing w:after="120" w:line="240" w:lineRule="auto"/>
        <w:ind w:left="-1" w:firstLine="709"/>
        <w:contextualSpacing/>
        <w:jc w:val="both"/>
        <w:rPr>
          <w:rFonts w:ascii="Simplified Arabic" w:eastAsia="Times New Roman" w:hAnsi="Simplified Arabic" w:cs="Simplified Arabic"/>
          <w:sz w:val="10"/>
          <w:szCs w:val="10"/>
          <w:rtl/>
          <w:lang w:bidi="ar-EG"/>
        </w:rPr>
      </w:pPr>
    </w:p>
    <w:p>
      <w:pPr>
        <w:spacing w:after="120" w:line="240" w:lineRule="auto"/>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ويطلق عليها اسم التعلم التعلم الخبراتى لأصولها الفكرية فى الأعمال التجريبية الخاصة بعلماء مثل بياجيه وجون ديوى حيث تشكل نظرية التعلم الخبراتى منظوراً فريداً للتعليم والتعلم لتأكيدها على أهمية الخبرة فى عملية التعلم(</w:t>
      </w:r>
      <w:r>
        <w:rPr>
          <w:rFonts w:ascii="Simplified Arabic" w:eastAsia="Times New Roman" w:hAnsi="Simplified Arabic" w:cs="Simplified Arabic"/>
          <w:sz w:val="28"/>
          <w:szCs w:val="28"/>
          <w:lang w:bidi="ar-EG"/>
        </w:rPr>
        <w:t>Kolb&amp;Boyatzis,2014;2</w:t>
      </w:r>
      <w:r>
        <w:rPr>
          <w:rFonts w:ascii="Simplified Arabic" w:eastAsia="Times New Roman" w:hAnsi="Simplified Arabic" w:cs="Simplified Arabic" w:hint="cs"/>
          <w:sz w:val="28"/>
          <w:szCs w:val="28"/>
          <w:rtl/>
          <w:lang w:bidi="ar-EG"/>
        </w:rPr>
        <w:t>)،(عبيسة ،2016: 236).</w:t>
      </w:r>
    </w:p>
    <w:p>
      <w:pPr>
        <w:spacing w:before="120" w:after="120"/>
        <w:ind w:left="43"/>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وقد تناول</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مفهوم</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التعلم</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الخبراتي</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الكثير</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من</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الخبراء</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عبر</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السنوات</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الأخيرة</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،وجاءت</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تعريفاتهم</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مختلفة</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في</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شكلها</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متفقة</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في</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جوهرها</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فتعرفه</w:t>
      </w:r>
      <w:r>
        <w:rPr>
          <w:rFonts w:ascii="Simplified Arabic" w:eastAsia="Calibri" w:hAnsi="Simplified Arabic" w:cs="Simplified Arabic"/>
          <w:sz w:val="28"/>
          <w:szCs w:val="28"/>
          <w:rtl/>
          <w:lang w:bidi="ar-EG"/>
        </w:rPr>
        <w:t>(</w:t>
      </w:r>
      <w:r>
        <w:rPr>
          <w:rFonts w:ascii="Simplified Arabic" w:eastAsia="Calibri" w:hAnsi="Simplified Arabic" w:cs="Simplified Arabic"/>
          <w:sz w:val="28"/>
          <w:szCs w:val="28"/>
          <w:lang w:bidi="ar-EG"/>
        </w:rPr>
        <w:t>Sharlanova,2004;36</w:t>
      </w:r>
      <w:r>
        <w:rPr>
          <w:rFonts w:ascii="Simplified Arabic" w:eastAsia="Calibri" w:hAnsi="Simplified Arabic" w:cs="Simplified Arabic"/>
          <w:sz w:val="28"/>
          <w:szCs w:val="28"/>
          <w:rtl/>
          <w:lang w:bidi="ar-EG"/>
        </w:rPr>
        <w:t xml:space="preserve">) بأنه إحدى النظريات التربوية الحديثة التى تنتقل من العملية التعليمية التقليدية ، الى العملية التعليمية الموجه نحو الفرد. </w:t>
      </w:r>
    </w:p>
    <w:p>
      <w:pPr>
        <w:spacing w:before="120" w:after="120"/>
        <w:ind w:left="-99"/>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وعرفه</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sz w:val="28"/>
          <w:szCs w:val="28"/>
          <w:lang w:bidi="ar-EG"/>
        </w:rPr>
        <w:t>Kolb,2005;194</w:t>
      </w:r>
      <w:r>
        <w:rPr>
          <w:rFonts w:ascii="Simplified Arabic" w:eastAsia="Calibri" w:hAnsi="Simplified Arabic" w:cs="Simplified Arabic"/>
          <w:sz w:val="28"/>
          <w:szCs w:val="28"/>
          <w:rtl/>
          <w:lang w:bidi="ar-EG"/>
        </w:rPr>
        <w:t xml:space="preserve">). بأنه دورة تعلم تجعل المتعلم يلمس جميع الأساسيات </w:t>
      </w:r>
      <w:r>
        <w:rPr>
          <w:rFonts w:ascii="Simplified Arabic" w:eastAsia="Calibri" w:hAnsi="Simplified Arabic" w:cs="Simplified Arabic" w:hint="cs"/>
          <w:sz w:val="28"/>
          <w:szCs w:val="28"/>
          <w:rtl/>
          <w:lang w:bidi="ar-EG"/>
        </w:rPr>
        <w:t>التي</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تكّون،</w:t>
      </w:r>
      <w:r>
        <w:rPr>
          <w:rFonts w:ascii="Simplified Arabic" w:eastAsia="Calibri" w:hAnsi="Simplified Arabic" w:cs="Simplified Arabic"/>
          <w:sz w:val="28"/>
          <w:szCs w:val="28"/>
          <w:rtl/>
          <w:lang w:bidi="ar-EG"/>
        </w:rPr>
        <w:t xml:space="preserve"> المعرفة وهى التجربة ،والتأمل،والتفكير ،والتطبيق </w:t>
      </w:r>
      <w:r>
        <w:rPr>
          <w:rFonts w:ascii="Simplified Arabic" w:eastAsia="Calibri" w:hAnsi="Simplified Arabic" w:cs="Simplified Arabic" w:hint="cs"/>
          <w:sz w:val="28"/>
          <w:szCs w:val="28"/>
          <w:rtl/>
          <w:lang w:bidi="ar-EG"/>
        </w:rPr>
        <w:t>الواقعي</w:t>
      </w:r>
      <w:r>
        <w:rPr>
          <w:rFonts w:ascii="Simplified Arabic" w:eastAsia="Calibri" w:hAnsi="Simplified Arabic" w:cs="Simplified Arabic"/>
          <w:sz w:val="28"/>
          <w:szCs w:val="28"/>
          <w:rtl/>
          <w:lang w:bidi="ar-EG"/>
        </w:rPr>
        <w:t xml:space="preserve"> عبر خبرات واقعية مباشرة </w:t>
      </w:r>
      <w:r>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أساسها الملاحظات والتأملات.</w:t>
      </w:r>
    </w:p>
    <w:p>
      <w:pPr>
        <w:spacing w:before="120" w:after="120"/>
        <w:ind w:left="43"/>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وعرف</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sz w:val="28"/>
          <w:szCs w:val="28"/>
          <w:lang w:bidi="ar-EG"/>
        </w:rPr>
        <w:t>Kolb</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التعلم</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الخبراتي</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على</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أنه</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العملية</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التى</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يتم</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فيها</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تكوين</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المعرفة</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من</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خلال</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تحويل</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الخبرة</w:t>
      </w:r>
      <w:r>
        <w:rPr>
          <w:rFonts w:ascii="Simplified Arabic" w:eastAsia="Calibri" w:hAnsi="Simplified Arabic" w:cs="Simplified Arabic"/>
          <w:sz w:val="28"/>
          <w:szCs w:val="28"/>
          <w:rtl/>
          <w:lang w:bidi="ar-EG"/>
        </w:rPr>
        <w:t>(</w:t>
      </w:r>
      <w:r>
        <w:rPr>
          <w:rFonts w:ascii="Simplified Arabic" w:eastAsia="Calibri" w:hAnsi="Simplified Arabic" w:cs="Simplified Arabic"/>
          <w:sz w:val="28"/>
          <w:szCs w:val="28"/>
          <w:lang w:bidi="ar-EG"/>
        </w:rPr>
        <w:t>Kolb,2009;44</w:t>
      </w:r>
      <w:r>
        <w:rPr>
          <w:rFonts w:ascii="Simplified Arabic" w:eastAsia="Calibri" w:hAnsi="Simplified Arabic" w:cs="Simplified Arabic"/>
          <w:sz w:val="28"/>
          <w:szCs w:val="28"/>
          <w:rtl/>
          <w:lang w:bidi="ar-EG"/>
        </w:rPr>
        <w:t>).</w:t>
      </w:r>
    </w:p>
    <w:p>
      <w:pPr>
        <w:spacing w:before="120" w:after="120"/>
        <w:ind w:left="43"/>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lastRenderedPageBreak/>
        <w:t>ويعرف</w:t>
      </w:r>
      <w:r>
        <w:rPr>
          <w:rFonts w:ascii="Simplified Arabic" w:eastAsia="Calibri" w:hAnsi="Simplified Arabic" w:cs="Simplified Arabic" w:hint="cs"/>
          <w:sz w:val="28"/>
          <w:szCs w:val="28"/>
          <w:rtl/>
          <w:lang w:bidi="ar-EG"/>
        </w:rPr>
        <w:t>ه محمد (2021: 204) بأنه التعلم الذى يتم من خلاله</w:t>
      </w:r>
      <w:r>
        <w:rPr>
          <w:rFonts w:ascii="Simplified Arabic" w:eastAsia="Calibri" w:hAnsi="Simplified Arabic" w:cs="Simplified Arabic"/>
          <w:sz w:val="28"/>
          <w:szCs w:val="28"/>
          <w:rtl/>
          <w:lang w:bidi="ar-EG"/>
        </w:rPr>
        <w:t xml:space="preserve"> البناء المتكامل لشخصية المتعلم بالتعاون مع المعلم</w:t>
      </w:r>
      <w:r>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 لينعكس إيجابياً بالتفاعل مع بيئته وطريقته </w:t>
      </w:r>
      <w:r>
        <w:rPr>
          <w:rFonts w:ascii="Simplified Arabic" w:eastAsia="Calibri" w:hAnsi="Simplified Arabic" w:cs="Simplified Arabic" w:hint="cs"/>
          <w:sz w:val="28"/>
          <w:szCs w:val="28"/>
          <w:rtl/>
          <w:lang w:bidi="ar-EG"/>
        </w:rPr>
        <w:t>في</w:t>
      </w:r>
      <w:r>
        <w:rPr>
          <w:rFonts w:ascii="Simplified Arabic" w:eastAsia="Calibri" w:hAnsi="Simplified Arabic" w:cs="Simplified Arabic"/>
          <w:sz w:val="28"/>
          <w:szCs w:val="28"/>
          <w:rtl/>
          <w:lang w:bidi="ar-EG"/>
        </w:rPr>
        <w:t xml:space="preserve"> تغيير مفاهيم وأسلوب حياته </w:t>
      </w:r>
      <w:r>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بحيث يمكن للمتعلم </w:t>
      </w:r>
      <w:r>
        <w:rPr>
          <w:rFonts w:ascii="Simplified Arabic" w:eastAsia="Calibri" w:hAnsi="Simplified Arabic" w:cs="Simplified Arabic" w:hint="cs"/>
          <w:sz w:val="28"/>
          <w:szCs w:val="28"/>
          <w:rtl/>
          <w:lang w:bidi="ar-EG"/>
        </w:rPr>
        <w:t>اكتساب</w:t>
      </w:r>
      <w:r>
        <w:rPr>
          <w:rFonts w:ascii="Simplified Arabic" w:eastAsia="Calibri" w:hAnsi="Simplified Arabic" w:cs="Simplified Arabic"/>
          <w:sz w:val="28"/>
          <w:szCs w:val="28"/>
          <w:rtl/>
          <w:lang w:bidi="ar-EG"/>
        </w:rPr>
        <w:t xml:space="preserve"> المعرفة </w:t>
      </w:r>
      <w:r>
        <w:rPr>
          <w:rFonts w:ascii="Simplified Arabic" w:eastAsia="Calibri" w:hAnsi="Simplified Arabic" w:cs="Simplified Arabic" w:hint="cs"/>
          <w:sz w:val="28"/>
          <w:szCs w:val="28"/>
          <w:rtl/>
          <w:lang w:bidi="ar-EG"/>
        </w:rPr>
        <w:t>بنفسه</w:t>
      </w:r>
      <w:r>
        <w:rPr>
          <w:rFonts w:ascii="Simplified Arabic" w:eastAsia="Calibri" w:hAnsi="Simplified Arabic" w:cs="Simplified Arabic"/>
          <w:sz w:val="28"/>
          <w:szCs w:val="28"/>
          <w:rtl/>
          <w:lang w:bidi="ar-EG"/>
        </w:rPr>
        <w:t xml:space="preserve"> من خلال تجربتها والمرور بخبرات عديدة </w:t>
      </w:r>
      <w:r>
        <w:rPr>
          <w:rFonts w:ascii="Simplified Arabic" w:eastAsia="Calibri" w:hAnsi="Simplified Arabic" w:cs="Simplified Arabic" w:hint="cs"/>
          <w:sz w:val="28"/>
          <w:szCs w:val="28"/>
          <w:rtl/>
          <w:lang w:bidi="ar-EG"/>
        </w:rPr>
        <w:t>،فيتم</w:t>
      </w:r>
      <w:r>
        <w:rPr>
          <w:rFonts w:ascii="Simplified Arabic" w:eastAsia="Calibri" w:hAnsi="Simplified Arabic" w:cs="Simplified Arabic"/>
          <w:sz w:val="28"/>
          <w:szCs w:val="28"/>
          <w:rtl/>
          <w:lang w:bidi="ar-EG"/>
        </w:rPr>
        <w:t xml:space="preserve"> تطبيقها </w:t>
      </w:r>
      <w:r>
        <w:rPr>
          <w:rFonts w:ascii="Simplified Arabic" w:eastAsia="Calibri" w:hAnsi="Simplified Arabic" w:cs="Simplified Arabic" w:hint="cs"/>
          <w:sz w:val="28"/>
          <w:szCs w:val="28"/>
          <w:rtl/>
          <w:lang w:bidi="ar-EG"/>
        </w:rPr>
        <w:t>في</w:t>
      </w:r>
      <w:r>
        <w:rPr>
          <w:rFonts w:ascii="Simplified Arabic" w:eastAsia="Calibri" w:hAnsi="Simplified Arabic" w:cs="Simplified Arabic"/>
          <w:sz w:val="28"/>
          <w:szCs w:val="28"/>
          <w:rtl/>
          <w:lang w:bidi="ar-EG"/>
        </w:rPr>
        <w:t xml:space="preserve"> مجالات متعددة </w:t>
      </w:r>
      <w:r>
        <w:rPr>
          <w:rFonts w:ascii="Simplified Arabic" w:eastAsia="Calibri" w:hAnsi="Simplified Arabic" w:cs="Simplified Arabic" w:hint="cs"/>
          <w:sz w:val="28"/>
          <w:szCs w:val="28"/>
          <w:rtl/>
          <w:lang w:bidi="ar-EG"/>
        </w:rPr>
        <w:t>في</w:t>
      </w:r>
      <w:r>
        <w:rPr>
          <w:rFonts w:ascii="Simplified Arabic" w:eastAsia="Calibri" w:hAnsi="Simplified Arabic" w:cs="Simplified Arabic"/>
          <w:sz w:val="28"/>
          <w:szCs w:val="28"/>
          <w:rtl/>
          <w:lang w:bidi="ar-EG"/>
        </w:rPr>
        <w:t xml:space="preserve"> مجتمعه.</w:t>
      </w:r>
    </w:p>
    <w:p>
      <w:pPr>
        <w:spacing w:before="120" w:after="120"/>
        <w:ind w:left="43"/>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ويقوم التعلم الخبراتي على مشاركة الطالب النشطة في عملية التعلم ، بمعنى أن يكون له دور خاص ومحورى في عملية التعلم ، ويقوم المعلم بدور التوجيه والإرشاد في عملية التعلم، فعندما يتعرض الطالب للخبرة المباشرة ، يقوم المتعلم بإعطائه الفرصة الكاملة لتناول الخبرة بنفسه ثم بعد ذلك يتدخل المعلم ويشارك المتعلم في توضيح أجزاء معينة أو تركيز انتباهه عليها ، ثم يتشاركان معاً في تبادل وجهات النظر حول الخبرة .(الفيل،2018: 85).</w:t>
      </w:r>
    </w:p>
    <w:p>
      <w:pPr>
        <w:spacing w:before="240" w:after="120" w:line="240" w:lineRule="auto"/>
        <w:ind w:left="-1" w:firstLine="709"/>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وقد أشار (</w:t>
      </w:r>
      <w:r>
        <w:rPr>
          <w:rFonts w:ascii="Simplified Arabic" w:eastAsia="Times New Roman" w:hAnsi="Simplified Arabic" w:cs="Simplified Arabic"/>
          <w:sz w:val="28"/>
          <w:szCs w:val="28"/>
          <w:lang w:bidi="ar-EG"/>
        </w:rPr>
        <w:t>Mcarthy,2010;132</w:t>
      </w:r>
      <w:r>
        <w:rPr>
          <w:rFonts w:ascii="Simplified Arabic" w:eastAsia="Times New Roman" w:hAnsi="Simplified Arabic" w:cs="Simplified Arabic" w:hint="cs"/>
          <w:sz w:val="28"/>
          <w:szCs w:val="28"/>
          <w:rtl/>
          <w:lang w:bidi="ar-EG"/>
        </w:rPr>
        <w:t>) أن نظرية التعلم الخبراتى عكس نظريات التعلم المعرفى، حيث أن نظريات التعلم المعرفى تميل إلى الإدراك أكثر من التأثير ونظرات التعلم السلوكى التى لا تسمح بأى دور للوعى والخبرة الذاتية فى عملية التعلم ،بينما تؤدى الخبرة أو التجربة دوراً فعالاً فى التعلم الخبراتى حيث أن التعلم عملية تكيفية شاملة تدمج الخبرة والإدراك والسلوك مما يؤثر بالإيجاب على عملية التعلم .</w:t>
      </w:r>
    </w:p>
    <w:p>
      <w:pPr>
        <w:spacing w:before="240" w:after="120" w:line="240" w:lineRule="auto"/>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ويعرفه(</w:t>
      </w:r>
      <w:r>
        <w:rPr>
          <w:rFonts w:ascii="Simplified Arabic" w:eastAsia="Times New Roman" w:hAnsi="Simplified Arabic" w:cs="Simplified Arabic"/>
          <w:sz w:val="28"/>
          <w:szCs w:val="28"/>
          <w:lang w:bidi="ar-EG"/>
        </w:rPr>
        <w:t>Beard&amp;Wilson,2013;25</w:t>
      </w:r>
      <w:r>
        <w:rPr>
          <w:rFonts w:ascii="Simplified Arabic" w:eastAsia="Times New Roman" w:hAnsi="Simplified Arabic" w:cs="Simplified Arabic" w:hint="cs"/>
          <w:sz w:val="28"/>
          <w:szCs w:val="28"/>
          <w:rtl/>
          <w:lang w:bidi="ar-EG"/>
        </w:rPr>
        <w:t>) هى عملية يتم فيها إنعكاس التجربة ثم ترجمتها إلى مفاهيم فتصبح بدورها مبادئ توجيهيه للتجارب الجديدة، ومعالجة المتعلمين للخبرات المختلفة فى سياقها الحقيقى.</w:t>
      </w:r>
    </w:p>
    <w:p>
      <w:pPr>
        <w:spacing w:before="240" w:after="120" w:line="240" w:lineRule="auto"/>
        <w:ind w:left="-1" w:firstLine="709"/>
        <w:contextualSpacing/>
        <w:jc w:val="both"/>
        <w:rPr>
          <w:rFonts w:ascii="Simplified Arabic" w:eastAsia="Times New Roman" w:hAnsi="Simplified Arabic" w:cs="Simplified Arabic"/>
          <w:sz w:val="8"/>
          <w:szCs w:val="8"/>
          <w:rtl/>
          <w:lang w:bidi="ar-EG"/>
        </w:rPr>
      </w:pPr>
    </w:p>
    <w:p>
      <w:pPr>
        <w:spacing w:before="240" w:after="120" w:line="240" w:lineRule="auto"/>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والتعلم الخبراتى هو فلسفة شمولية للتعليم حيث تؤدى الخبرات والتعليم والعمل دوراً مركزياً فى تعلمهم وفهمهم للمعرفة الجديدة إنها ليست مجموعة من الأدوات والتقنيات لتزويد الطلاب بمجموعة من الخبرات كما يساء فهمها فى كثير من الأحيان بل إنه يعتبر التعلم عملية مستمرة يقوم فيها الطلاب بإدخال معارفهم وأفكارهم  ومعتقداتهم  وممارستهم لفهمهم وتفسيرهم للمعلومات الجديدة.(</w:t>
      </w:r>
      <w:r>
        <w:rPr>
          <w:rFonts w:ascii="Simplified Arabic" w:eastAsia="Times New Roman" w:hAnsi="Simplified Arabic" w:cs="Simplified Arabic"/>
          <w:sz w:val="28"/>
          <w:szCs w:val="28"/>
          <w:lang w:bidi="ar-EG"/>
        </w:rPr>
        <w:t>Bartle,2015;2</w:t>
      </w:r>
      <w:r>
        <w:rPr>
          <w:rFonts w:ascii="Simplified Arabic" w:eastAsia="Times New Roman" w:hAnsi="Simplified Arabic" w:cs="Simplified Arabic" w:hint="cs"/>
          <w:sz w:val="28"/>
          <w:szCs w:val="28"/>
          <w:rtl/>
          <w:lang w:bidi="ar-EG"/>
        </w:rPr>
        <w:t>)</w:t>
      </w:r>
    </w:p>
    <w:p>
      <w:pPr>
        <w:spacing w:before="240" w:after="120" w:line="240" w:lineRule="auto"/>
        <w:ind w:left="-1" w:firstLine="709"/>
        <w:contextualSpacing/>
        <w:jc w:val="both"/>
        <w:rPr>
          <w:rFonts w:ascii="Simplified Arabic" w:eastAsia="Times New Roman" w:hAnsi="Simplified Arabic" w:cs="Simplified Arabic"/>
          <w:sz w:val="14"/>
          <w:szCs w:val="14"/>
          <w:rtl/>
          <w:lang w:bidi="ar-EG"/>
        </w:rPr>
      </w:pPr>
    </w:p>
    <w:p>
      <w:pPr>
        <w:spacing w:before="240" w:after="120" w:line="240" w:lineRule="auto"/>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والتعلم الخبراتى عبارة عن مصطلح برز إلى الساحة فى آواخر القرن العشرين وبدأ استخدامه بشكل عام للإشارة إلى العلاقات بين الخبرة والتعليم على نطاق واسع(</w:t>
      </w:r>
      <w:r>
        <w:rPr>
          <w:rFonts w:ascii="Simplified Arabic" w:eastAsia="Times New Roman" w:hAnsi="Simplified Arabic" w:cs="Simplified Arabic"/>
          <w:sz w:val="28"/>
          <w:szCs w:val="28"/>
          <w:lang w:bidi="ar-EG"/>
        </w:rPr>
        <w:t>Seaman&amp;Brown&amp;Quay,2017;2</w:t>
      </w:r>
      <w:r>
        <w:rPr>
          <w:rFonts w:ascii="Simplified Arabic" w:eastAsia="Times New Roman" w:hAnsi="Simplified Arabic" w:cs="Simplified Arabic" w:hint="cs"/>
          <w:sz w:val="28"/>
          <w:szCs w:val="28"/>
          <w:rtl/>
          <w:lang w:bidi="ar-EG"/>
        </w:rPr>
        <w:t>)</w:t>
      </w:r>
    </w:p>
    <w:p>
      <w:pPr>
        <w:spacing w:before="240" w:after="120" w:line="240" w:lineRule="auto"/>
        <w:ind w:left="-1" w:firstLine="709"/>
        <w:contextualSpacing/>
        <w:jc w:val="both"/>
        <w:rPr>
          <w:rFonts w:ascii="Simplified Arabic" w:eastAsia="Times New Roman" w:hAnsi="Simplified Arabic" w:cs="Simplified Arabic"/>
          <w:sz w:val="14"/>
          <w:szCs w:val="14"/>
          <w:rtl/>
          <w:lang w:bidi="ar-EG"/>
        </w:rPr>
      </w:pPr>
    </w:p>
    <w:p>
      <w:pPr>
        <w:spacing w:before="240" w:after="120" w:line="240" w:lineRule="auto"/>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lastRenderedPageBreak/>
        <w:t>ويعرفه (</w:t>
      </w:r>
      <w:r>
        <w:rPr>
          <w:rFonts w:ascii="Simplified Arabic" w:eastAsia="Times New Roman" w:hAnsi="Simplified Arabic" w:cs="Simplified Arabic"/>
          <w:sz w:val="28"/>
          <w:szCs w:val="28"/>
          <w:lang w:bidi="ar-EG"/>
        </w:rPr>
        <w:t>Kolb,A&amp;Kolb,D,2017;10</w:t>
      </w:r>
      <w:r>
        <w:rPr>
          <w:rFonts w:ascii="Simplified Arabic" w:eastAsia="Times New Roman" w:hAnsi="Simplified Arabic" w:cs="Simplified Arabic" w:hint="cs"/>
          <w:sz w:val="28"/>
          <w:szCs w:val="28"/>
          <w:rtl/>
          <w:lang w:bidi="ar-EG"/>
        </w:rPr>
        <w:t>) بأنها نظرية ديناميكية شاملة لعملية التعلم من الخبرة ، فهى شاملة لجميع المستويات ومناسبة لجميع المراحل العمرية.</w:t>
      </w:r>
    </w:p>
    <w:p>
      <w:pPr>
        <w:spacing w:before="240" w:after="120" w:line="240" w:lineRule="auto"/>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ويعرفه(</w:t>
      </w:r>
      <w:r>
        <w:rPr>
          <w:rFonts w:ascii="Simplified Arabic" w:eastAsia="Times New Roman" w:hAnsi="Simplified Arabic" w:cs="Simplified Arabic"/>
          <w:sz w:val="28"/>
          <w:szCs w:val="28"/>
          <w:lang w:bidi="ar-EG"/>
        </w:rPr>
        <w:t>Beard&amp;Wilson,2018;3</w:t>
      </w:r>
      <w:r>
        <w:rPr>
          <w:rFonts w:ascii="Simplified Arabic" w:eastAsia="Times New Roman" w:hAnsi="Simplified Arabic" w:cs="Simplified Arabic" w:hint="cs"/>
          <w:sz w:val="28"/>
          <w:szCs w:val="28"/>
          <w:rtl/>
          <w:lang w:bidi="ar-EG"/>
        </w:rPr>
        <w:t>) بأنه التعلم الذى يكون فيه المتعلم على إتصال مباشر بالواقع الذى يدرسة  وهو يتناقض مع التعلم الذى يقرأ فيه المتعلم فقط عن هذه الحقائق أو يستمع عنها أو يتحدث عنها أو يكتب عنها ولكن لا تواصل معها أبداً كجزء من عملية التعليم.</w:t>
      </w:r>
    </w:p>
    <w:p>
      <w:pPr>
        <w:spacing w:before="240" w:after="120" w:line="240" w:lineRule="auto"/>
        <w:ind w:left="-1" w:firstLine="709"/>
        <w:contextualSpacing/>
        <w:jc w:val="both"/>
        <w:rPr>
          <w:rFonts w:ascii="Simplified Arabic" w:eastAsia="Times New Roman" w:hAnsi="Simplified Arabic" w:cs="Simplified Arabic"/>
          <w:sz w:val="10"/>
          <w:szCs w:val="10"/>
          <w:rtl/>
          <w:lang w:bidi="ar-EG"/>
        </w:rPr>
      </w:pPr>
    </w:p>
    <w:p>
      <w:pPr>
        <w:spacing w:before="240" w:after="120" w:line="240" w:lineRule="auto"/>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كما عرفه سلام(2019: 199). بأنه  نموذج للتعلم وضعه كولب يتألف من مراحل أربع هى الخبرة المحسوسة  والملاحظة المتأملة  والتجريد والتجريب النشط .</w:t>
      </w:r>
    </w:p>
    <w:p>
      <w:pPr>
        <w:spacing w:before="240" w:after="120" w:line="240" w:lineRule="auto"/>
        <w:ind w:left="-1" w:firstLine="709"/>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بينما عرفه(</w:t>
      </w:r>
      <w:r>
        <w:rPr>
          <w:rFonts w:ascii="Simplified Arabic" w:eastAsia="Times New Roman" w:hAnsi="Simplified Arabic" w:cs="Simplified Arabic"/>
          <w:sz w:val="28"/>
          <w:szCs w:val="28"/>
          <w:lang w:bidi="ar-EG"/>
        </w:rPr>
        <w:t>Balousha et.al,2021;581</w:t>
      </w:r>
      <w:r>
        <w:rPr>
          <w:rFonts w:ascii="Simplified Arabic" w:eastAsia="Times New Roman" w:hAnsi="Simplified Arabic" w:cs="Simplified Arabic" w:hint="cs"/>
          <w:sz w:val="28"/>
          <w:szCs w:val="28"/>
          <w:rtl/>
          <w:lang w:bidi="ar-EG"/>
        </w:rPr>
        <w:t>) بأنه عملية مشاركة نشطة عالية المستوى والتى من خلالها تبنى الخبرات الحقيقية من إدراك المتعلمين وممارستهم والتعلم بأنفسهم أو بأقرانهم من خلال المجموعات.</w:t>
      </w:r>
    </w:p>
    <w:p>
      <w:pPr>
        <w:spacing w:before="240" w:after="120" w:line="240" w:lineRule="auto"/>
        <w:ind w:left="-1" w:firstLine="709"/>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ويعرف (</w:t>
      </w:r>
      <w:r>
        <w:rPr>
          <w:rFonts w:ascii="Simplified Arabic" w:eastAsia="Times New Roman" w:hAnsi="Simplified Arabic" w:cs="Simplified Arabic"/>
          <w:sz w:val="28"/>
          <w:szCs w:val="28"/>
          <w:lang w:bidi="ar-EG"/>
        </w:rPr>
        <w:t>Sarkar,et al,2022;543</w:t>
      </w:r>
      <w:r>
        <w:rPr>
          <w:rFonts w:ascii="Simplified Arabic" w:eastAsia="Times New Roman" w:hAnsi="Simplified Arabic" w:cs="Simplified Arabic" w:hint="cs"/>
          <w:sz w:val="28"/>
          <w:szCs w:val="28"/>
          <w:rtl/>
          <w:lang w:bidi="ar-EG"/>
        </w:rPr>
        <w:t>) التعلم الخبراتى على أنه تحول  فى معرفة الفرد حيث يمكنهم بناء المعنى من خلال خبراتهم .</w:t>
      </w:r>
    </w:p>
    <w:p>
      <w:pPr>
        <w:spacing w:before="240" w:after="120"/>
        <w:ind w:left="-1" w:firstLine="709"/>
        <w:contextualSpacing/>
        <w:jc w:val="both"/>
        <w:rPr>
          <w:rFonts w:eastAsia="Calibri" w:cs="Simplified Arabic"/>
          <w:b/>
          <w:bCs/>
          <w:sz w:val="28"/>
          <w:szCs w:val="28"/>
          <w:rtl/>
          <w:lang w:bidi="ar-EG"/>
        </w:rPr>
      </w:pPr>
      <w:r>
        <w:rPr>
          <w:rFonts w:ascii="Simplified Arabic" w:eastAsia="Calibri" w:hAnsi="Simplified Arabic" w:cs="Simplified Arabic" w:hint="cs"/>
          <w:b/>
          <w:bCs/>
          <w:sz w:val="28"/>
          <w:szCs w:val="28"/>
          <w:rtl/>
          <w:lang w:bidi="ar-EG"/>
        </w:rPr>
        <w:t>كما حدد(</w:t>
      </w:r>
      <w:r>
        <w:rPr>
          <w:rFonts w:ascii="Simplified Arabic" w:eastAsia="Calibri" w:hAnsi="Simplified Arabic" w:cs="Simplified Arabic"/>
          <w:b/>
          <w:bCs/>
          <w:sz w:val="28"/>
          <w:szCs w:val="28"/>
          <w:lang w:bidi="ar-EG"/>
        </w:rPr>
        <w:t>Reshmadsa,2017;5</w:t>
      </w:r>
      <w:r>
        <w:rPr>
          <w:rFonts w:ascii="Simplified Arabic" w:eastAsia="Calibri" w:hAnsi="Simplified Arabic" w:cs="Simplified Arabic" w:hint="cs"/>
          <w:b/>
          <w:bCs/>
          <w:sz w:val="28"/>
          <w:szCs w:val="28"/>
          <w:rtl/>
          <w:lang w:bidi="ar-EG"/>
        </w:rPr>
        <w:t>) أهمية التعلم الخبراتى فيما يلى:</w:t>
      </w:r>
    </w:p>
    <w:p>
      <w:pPr>
        <w:spacing w:before="240" w:after="120"/>
        <w:ind w:left="-1" w:firstLine="709"/>
        <w:contextualSpacing/>
        <w:jc w:val="both"/>
        <w:rPr>
          <w:rFonts w:eastAsia="Calibri" w:cs="Simplified Arabic"/>
          <w:sz w:val="28"/>
          <w:szCs w:val="28"/>
          <w:lang w:bidi="ar-EG"/>
        </w:rPr>
      </w:pPr>
      <w:r>
        <w:rPr>
          <w:rFonts w:ascii="Simplified Arabic" w:eastAsia="Calibri" w:hAnsi="Simplified Arabic" w:cs="Simplified Arabic" w:hint="cs"/>
          <w:b/>
          <w:bCs/>
          <w:sz w:val="28"/>
          <w:szCs w:val="28"/>
          <w:rtl/>
          <w:lang w:bidi="ar-EG"/>
        </w:rPr>
        <w:t xml:space="preserve">- </w:t>
      </w:r>
      <w:r>
        <w:rPr>
          <w:rFonts w:ascii="Simplified Arabic" w:eastAsia="Calibri" w:hAnsi="Simplified Arabic" w:cs="Simplified Arabic" w:hint="cs"/>
          <w:sz w:val="28"/>
          <w:szCs w:val="28"/>
          <w:rtl/>
          <w:lang w:bidi="ar-EG"/>
        </w:rPr>
        <w:t>يعزز القدرات التربوية للمتعلمين</w:t>
      </w:r>
    </w:p>
    <w:p>
      <w:pPr>
        <w:spacing w:before="240" w:after="120"/>
        <w:ind w:left="-1" w:firstLine="709"/>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مشاركة الطلاب فى أنشطة التعلم</w:t>
      </w:r>
    </w:p>
    <w:p>
      <w:pPr>
        <w:spacing w:before="240" w:after="120"/>
        <w:ind w:left="-1" w:firstLine="709"/>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-يساعد فى خلق بيئة تعليمية مناسبة للطلاب</w:t>
      </w:r>
    </w:p>
    <w:p>
      <w:pPr>
        <w:spacing w:before="240" w:after="120"/>
        <w:ind w:left="-1" w:firstLine="709"/>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-مساعدة الطلاب فى تنمية مهارات التفكير.</w:t>
      </w:r>
    </w:p>
    <w:p>
      <w:pPr>
        <w:spacing w:after="120"/>
        <w:ind w:left="-1" w:firstLine="709"/>
        <w:contextualSpacing/>
        <w:jc w:val="both"/>
        <w:rPr>
          <w:rFonts w:eastAsia="Calibri" w:cs="Simplified Arabic"/>
          <w:sz w:val="10"/>
          <w:szCs w:val="10"/>
          <w:rtl/>
          <w:lang w:bidi="ar-EG"/>
        </w:rPr>
      </w:pPr>
    </w:p>
    <w:p>
      <w:pPr>
        <w:spacing w:after="120"/>
        <w:ind w:left="-1" w:firstLine="709"/>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كما أن النظرية تساعد المتعلمين على بناء المعنى وذلك من خلال تجارب الحياة الواقعية للطلاب وربط معارفهم بالحياة اليومية ومن ثم يمكن للطلاب استيعاب معارفهم بشكل أسهل وبالتالى تطبيق ما تعلموه فى مواقف جديدة ، كما أنها تعزز لدى الطلاب فهم الذات والثقة بالنفس(</w:t>
      </w:r>
      <w:r>
        <w:rPr>
          <w:rFonts w:ascii="Simplified Arabic" w:eastAsia="Calibri" w:hAnsi="Simplified Arabic" w:cs="Simplified Arabic"/>
          <w:sz w:val="28"/>
          <w:szCs w:val="28"/>
          <w:lang w:bidi="ar-EG"/>
        </w:rPr>
        <w:t>Lam&amp;Chan,2013;3</w:t>
      </w:r>
      <w:r>
        <w:rPr>
          <w:rFonts w:ascii="Simplified Arabic" w:eastAsia="Calibri" w:hAnsi="Simplified Arabic" w:cs="Simplified Arabic" w:hint="cs"/>
          <w:sz w:val="28"/>
          <w:szCs w:val="28"/>
          <w:rtl/>
          <w:lang w:bidi="ar-EG"/>
        </w:rPr>
        <w:t>).</w:t>
      </w:r>
    </w:p>
    <w:p>
      <w:pPr>
        <w:spacing w:before="240" w:after="120"/>
        <w:ind w:left="-1" w:firstLine="709"/>
        <w:contextualSpacing/>
        <w:jc w:val="both"/>
        <w:rPr>
          <w:rFonts w:ascii="Simplified Arabic" w:eastAsia="Calibri" w:hAnsi="Simplified Arabic" w:cs="Simplified Arabic"/>
          <w:sz w:val="10"/>
          <w:szCs w:val="10"/>
          <w:rtl/>
          <w:lang w:bidi="ar-EG"/>
        </w:rPr>
      </w:pPr>
    </w:p>
    <w:p>
      <w:pPr>
        <w:spacing w:before="240" w:after="120"/>
        <w:ind w:left="-1" w:firstLine="709"/>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كما تتمثل أهمية التعلم الخبراتى فى أنه يعتمد على إيجابية ونشاط المتعلم من خلال الملاحظة والتأمل والتجريب وهذا يثرى الخبرات الحياتية للمتعلمين ويعمل على زيادة دافعيتهم وتعزيز الشعور بالذات وقيمه النجاح فى العمل  ويضعهم فى مواقف المبادآه والتحدى لإكتشاف جوانب التعلم </w:t>
      </w:r>
      <w:r>
        <w:rPr>
          <w:rFonts w:ascii="Simplified Arabic" w:eastAsia="Calibri" w:hAnsi="Simplified Arabic" w:cs="Simplified Arabic" w:hint="cs"/>
          <w:sz w:val="28"/>
          <w:szCs w:val="28"/>
          <w:rtl/>
          <w:lang w:bidi="ar-EG"/>
        </w:rPr>
        <w:lastRenderedPageBreak/>
        <w:t>المختلفة التى تمكنهم من إكتساب المهارات والمعارف والإتجاهات المرغوبة (نوير ومحمود،2021: 87).</w:t>
      </w:r>
    </w:p>
    <w:p>
      <w:pPr>
        <w:spacing w:before="240" w:after="0" w:line="240" w:lineRule="auto"/>
        <w:ind w:left="-1" w:firstLine="709"/>
        <w:jc w:val="both"/>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b/>
          <w:bCs/>
          <w:sz w:val="28"/>
          <w:szCs w:val="28"/>
          <w:rtl/>
          <w:lang w:bidi="ar-EG"/>
        </w:rPr>
        <w:t>وتتمثل أهمية التعلم الخبراتي في أنه:(</w:t>
      </w:r>
      <w:r>
        <w:rPr>
          <w:rFonts w:ascii="Simplified Arabic" w:eastAsia="Times New Roman" w:hAnsi="Simplified Arabic" w:cs="Simplified Arabic"/>
          <w:b/>
          <w:bCs/>
          <w:sz w:val="28"/>
          <w:szCs w:val="28"/>
          <w:lang w:bidi="ar-EG"/>
        </w:rPr>
        <w:t>Healey</w:t>
      </w:r>
      <w:r>
        <w:rPr>
          <w:rFonts w:eastAsia="Times New Roman" w:cs="Simplified Arabic"/>
          <w:b/>
          <w:bCs/>
          <w:sz w:val="28"/>
          <w:szCs w:val="28"/>
          <w:lang w:bidi="ar-EG"/>
        </w:rPr>
        <w:t xml:space="preserve"> </w:t>
      </w:r>
      <w:r>
        <w:rPr>
          <w:rFonts w:ascii="Simplified Arabic" w:eastAsia="Times New Roman" w:hAnsi="Simplified Arabic" w:cs="Simplified Arabic"/>
          <w:b/>
          <w:bCs/>
          <w:sz w:val="28"/>
          <w:szCs w:val="28"/>
          <w:lang w:bidi="ar-EG"/>
        </w:rPr>
        <w:t>&amp; Jenkins, 2000; 186</w:t>
      </w:r>
      <w:r>
        <w:rPr>
          <w:rFonts w:ascii="Simplified Arabic" w:eastAsia="Times New Roman" w:hAnsi="Simplified Arabic" w:cs="Simplified Arabic"/>
          <w:b/>
          <w:bCs/>
          <w:sz w:val="28"/>
          <w:szCs w:val="28"/>
          <w:rtl/>
          <w:lang w:bidi="ar-EG"/>
        </w:rPr>
        <w:t>)،(الفيل،</w:t>
      </w:r>
      <w:r>
        <w:rPr>
          <w:rFonts w:ascii="Simplified Arabic" w:eastAsia="Times New Roman" w:hAnsi="Simplified Arabic" w:cs="Simplified Arabic" w:hint="cs"/>
          <w:b/>
          <w:bCs/>
          <w:sz w:val="28"/>
          <w:szCs w:val="28"/>
          <w:rtl/>
          <w:lang w:bidi="ar-EG"/>
        </w:rPr>
        <w:t xml:space="preserve"> </w:t>
      </w:r>
      <w:r>
        <w:rPr>
          <w:rFonts w:ascii="Simplified Arabic" w:eastAsia="Times New Roman" w:hAnsi="Simplified Arabic" w:cs="Simplified Arabic"/>
          <w:b/>
          <w:bCs/>
          <w:sz w:val="28"/>
          <w:szCs w:val="28"/>
          <w:rtl/>
          <w:lang w:bidi="ar-EG"/>
        </w:rPr>
        <w:t>2018: 87).</w:t>
      </w:r>
    </w:p>
    <w:p>
      <w:pPr>
        <w:spacing w:after="0" w:line="240" w:lineRule="auto"/>
        <w:ind w:left="282" w:hanging="283"/>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b/>
          <w:bCs/>
          <w:sz w:val="28"/>
          <w:szCs w:val="28"/>
          <w:rtl/>
          <w:lang w:bidi="ar-EG"/>
        </w:rPr>
        <w:t xml:space="preserve">- </w:t>
      </w:r>
      <w:r>
        <w:rPr>
          <w:rFonts w:ascii="Simplified Arabic" w:eastAsia="Times New Roman" w:hAnsi="Simplified Arabic" w:cs="Simplified Arabic"/>
          <w:sz w:val="28"/>
          <w:szCs w:val="28"/>
          <w:rtl/>
          <w:lang w:bidi="ar-EG"/>
        </w:rPr>
        <w:t>يوفر توجيهات لأساليب التعلم</w:t>
      </w:r>
    </w:p>
    <w:p>
      <w:pPr>
        <w:spacing w:after="0" w:line="240" w:lineRule="auto"/>
        <w:ind w:left="282" w:hanging="283"/>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 يوفر اتصالاً فعالاً بين النظرية والتطبيق</w:t>
      </w:r>
    </w:p>
    <w:p>
      <w:pPr>
        <w:spacing w:after="0" w:line="240" w:lineRule="auto"/>
        <w:ind w:left="282" w:hanging="283"/>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 يحقق التعلم ذا معني والفهم العميق لمحتوى مادة التعلم وللخبرات التعليمية</w:t>
      </w:r>
    </w:p>
    <w:p>
      <w:pPr>
        <w:spacing w:after="0" w:line="240" w:lineRule="auto"/>
        <w:ind w:left="282" w:hanging="283"/>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 يزيد من اندماج الطالب في عملية التعلم</w:t>
      </w:r>
    </w:p>
    <w:p>
      <w:pPr>
        <w:spacing w:after="0" w:line="240" w:lineRule="auto"/>
        <w:ind w:left="282" w:hanging="283"/>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 يقدم صيغة واضحة بأهمية التأمل للطلاب وأهمية تقديم تغذية راجعة من أجل تحفيز وتشجيع دراستهم</w:t>
      </w:r>
    </w:p>
    <w:p>
      <w:pPr>
        <w:spacing w:after="0" w:line="240" w:lineRule="auto"/>
        <w:ind w:left="282" w:hanging="283"/>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 يزيد من رغبة المتعلمين في التعلم.</w:t>
      </w:r>
    </w:p>
    <w:p>
      <w:pPr>
        <w:spacing w:before="240" w:after="0" w:line="240" w:lineRule="auto"/>
        <w:ind w:left="-1" w:firstLine="709"/>
        <w:jc w:val="both"/>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hint="cs"/>
          <w:b/>
          <w:bCs/>
          <w:sz w:val="28"/>
          <w:szCs w:val="28"/>
          <w:rtl/>
          <w:lang w:bidi="ar-EG"/>
        </w:rPr>
        <w:t>ويتضح مما سبق أن أهمية نظرية التعلم الخبراتى تتمثل فيما يلى:</w:t>
      </w:r>
    </w:p>
    <w:p>
      <w:pPr>
        <w:numPr>
          <w:ilvl w:val="0"/>
          <w:numId w:val="26"/>
        </w:numPr>
        <w:spacing w:after="0" w:line="240" w:lineRule="auto"/>
        <w:ind w:left="424" w:hanging="425"/>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الربط بين المعلومات السابقة والجديدة فى بنية المتعلم المعرفية</w:t>
      </w:r>
    </w:p>
    <w:p>
      <w:pPr>
        <w:numPr>
          <w:ilvl w:val="0"/>
          <w:numId w:val="26"/>
        </w:numPr>
        <w:spacing w:before="240" w:after="0" w:line="240" w:lineRule="auto"/>
        <w:ind w:left="424" w:hanging="425"/>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الربط بين النظرية والممارسة </w:t>
      </w:r>
    </w:p>
    <w:p>
      <w:pPr>
        <w:numPr>
          <w:ilvl w:val="0"/>
          <w:numId w:val="26"/>
        </w:numPr>
        <w:spacing w:before="240" w:after="0" w:line="240" w:lineRule="auto"/>
        <w:ind w:left="424" w:hanging="425"/>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زيادة ثقة الطالب فى نفسة والقدرة على مواجهة المواقف والقضايا</w:t>
      </w:r>
    </w:p>
    <w:p>
      <w:pPr>
        <w:numPr>
          <w:ilvl w:val="0"/>
          <w:numId w:val="26"/>
        </w:numPr>
        <w:spacing w:before="240" w:after="0" w:line="240" w:lineRule="auto"/>
        <w:ind w:left="424" w:hanging="425"/>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الربط بين الخبرات التعليمية والسياق الواقعى</w:t>
      </w:r>
    </w:p>
    <w:p>
      <w:pPr>
        <w:numPr>
          <w:ilvl w:val="0"/>
          <w:numId w:val="26"/>
        </w:numPr>
        <w:spacing w:before="240" w:after="0" w:line="240" w:lineRule="auto"/>
        <w:ind w:left="424" w:hanging="425"/>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تساعد على الفهم العميق نتيجة مروره بخبرات وانشطة مختلفة</w:t>
      </w:r>
    </w:p>
    <w:p>
      <w:pPr>
        <w:numPr>
          <w:ilvl w:val="0"/>
          <w:numId w:val="26"/>
        </w:numPr>
        <w:spacing w:before="240" w:after="0" w:line="240" w:lineRule="auto"/>
        <w:ind w:left="424" w:hanging="425"/>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التأكيد على الدور المحورى للطالب فى نظرية التعلم الخبراتى</w:t>
      </w:r>
    </w:p>
    <w:p>
      <w:pPr>
        <w:numPr>
          <w:ilvl w:val="0"/>
          <w:numId w:val="26"/>
        </w:numPr>
        <w:spacing w:before="240" w:after="0" w:line="240" w:lineRule="auto"/>
        <w:ind w:left="424" w:hanging="425"/>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القدرة على تطبيق ما يتعلمه الطالب فى مواقف أخرى حياتية </w:t>
      </w:r>
    </w:p>
    <w:p>
      <w:pPr>
        <w:numPr>
          <w:ilvl w:val="0"/>
          <w:numId w:val="26"/>
        </w:numPr>
        <w:spacing w:before="240" w:after="0" w:line="240" w:lineRule="auto"/>
        <w:ind w:left="424" w:hanging="425"/>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تحقيق أهداف التعلم ، وجعل المتعلم دائم التركيز فى المعارف التى تقدم له</w:t>
      </w:r>
    </w:p>
    <w:p>
      <w:pPr>
        <w:spacing w:before="120" w:after="120"/>
        <w:ind w:left="5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 xml:space="preserve">ويتفق كلاً من  </w:t>
      </w:r>
      <w:r>
        <w:rPr>
          <w:rFonts w:ascii="Simplified Arabic" w:hAnsi="Simplified Arabic" w:cs="Simplified Arabic"/>
          <w:b/>
          <w:bCs/>
          <w:sz w:val="28"/>
          <w:szCs w:val="28"/>
          <w:lang w:bidi="ar-EG"/>
        </w:rPr>
        <w:t>(Kolb, 1984 ; 30)(Healey &amp; Jenkins, 2000; 187)</w:t>
      </w:r>
      <w:r>
        <w:rPr>
          <w:rFonts w:ascii="Simplified Arabic" w:hAnsi="Simplified Arabic" w:cs="Simplified Arabic"/>
          <w:b/>
          <w:bCs/>
          <w:sz w:val="28"/>
          <w:szCs w:val="28"/>
          <w:rtl/>
          <w:lang w:bidi="ar-EG"/>
        </w:rPr>
        <w:t>،</w:t>
      </w:r>
      <w:r>
        <w:rPr>
          <w:rFonts w:ascii="Simplified Arabic" w:hAnsi="Simplified Arabic" w:cs="Simplified Arabic"/>
          <w:b/>
          <w:bCs/>
          <w:sz w:val="28"/>
          <w:szCs w:val="28"/>
          <w:lang w:bidi="ar-EG"/>
        </w:rPr>
        <w:t>(Loo, 2004; 100)</w:t>
      </w:r>
      <w:r>
        <w:rPr>
          <w:rFonts w:ascii="Simplified Arabic" w:hAnsi="Simplified Arabic" w:cs="Simplified Arabic"/>
          <w:b/>
          <w:bCs/>
          <w:sz w:val="28"/>
          <w:szCs w:val="28"/>
          <w:rtl/>
          <w:lang w:bidi="ar-EG"/>
        </w:rPr>
        <w:t xml:space="preserve">، </w:t>
      </w:r>
      <w:r>
        <w:rPr>
          <w:rFonts w:ascii="Simplified Arabic" w:hAnsi="Simplified Arabic" w:cs="Simplified Arabic"/>
          <w:b/>
          <w:bCs/>
          <w:sz w:val="28"/>
          <w:szCs w:val="28"/>
          <w:lang w:bidi="ar-EG"/>
        </w:rPr>
        <w:t>(Schenck &amp; Cruickshankk, 2014;2)</w:t>
      </w:r>
      <w:r>
        <w:rPr>
          <w:rFonts w:ascii="Simplified Arabic" w:hAnsi="Simplified Arabic" w:cs="Simplified Arabic"/>
          <w:b/>
          <w:bCs/>
          <w:sz w:val="28"/>
          <w:szCs w:val="28"/>
          <w:rtl/>
          <w:lang w:bidi="ar-EG"/>
        </w:rPr>
        <w:t>،  (سعادة،2017 :335)على أن التعلم الخبراتى يمر بمجموعة من المراحل:.</w:t>
      </w:r>
    </w:p>
    <w:p>
      <w:pPr>
        <w:spacing w:before="120" w:after="120"/>
        <w:ind w:left="5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 xml:space="preserve">المرحلة الأولى:مرحلة الخبرة الحسية، </w:t>
      </w:r>
      <w:r>
        <w:rPr>
          <w:rFonts w:ascii="Simplified Arabic" w:hAnsi="Simplified Arabic" w:cs="Simplified Arabic"/>
          <w:sz w:val="28"/>
          <w:szCs w:val="28"/>
          <w:rtl/>
          <w:lang w:bidi="ar-EG"/>
        </w:rPr>
        <w:t>وفيها يختلف الطلاب في مدى تمتعهم بالتعلم من خلال الخبرات الملموسة ،حيث يعملون بشكل منظم وينفتحون على تجارب جديدة</w:t>
      </w:r>
      <w:r>
        <w:rPr>
          <w:rFonts w:ascii="Simplified Arabic" w:hAnsi="Simplified Arabic" w:cs="Simplified Arabic"/>
          <w:b/>
          <w:bCs/>
          <w:sz w:val="28"/>
          <w:szCs w:val="28"/>
          <w:rtl/>
          <w:lang w:bidi="ar-EG"/>
        </w:rPr>
        <w:t>.</w:t>
      </w:r>
    </w:p>
    <w:p>
      <w:pPr>
        <w:spacing w:before="120" w:after="120"/>
        <w:ind w:left="5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lastRenderedPageBreak/>
        <w:t xml:space="preserve"> المرحلة الثانية: مرحلة الملاحظة التأملية، </w:t>
      </w:r>
      <w:r>
        <w:rPr>
          <w:rFonts w:ascii="Simplified Arabic" w:hAnsi="Simplified Arabic" w:cs="Simplified Arabic"/>
          <w:sz w:val="28"/>
          <w:szCs w:val="28"/>
          <w:rtl/>
          <w:lang w:bidi="ar-EG"/>
        </w:rPr>
        <w:t>وهى عبارة عن رد فعل للمرحلة الأولى ومكملة لها وتعتمد على الملاحظة والتأمل ، وتتضمن التحدث عن الخبرة الجديدة في ضوء التأمل وطرح بعض الأسئلة حول الخبرة الجديدة في حدود الخبرات السابقة .</w:t>
      </w:r>
    </w:p>
    <w:p>
      <w:pPr>
        <w:spacing w:before="120" w:after="120"/>
        <w:ind w:left="50"/>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 xml:space="preserve">المرحلة الثالثة:مرحلة التوصل إلى المفاهيم المجردة </w:t>
      </w:r>
      <w:r>
        <w:rPr>
          <w:rFonts w:ascii="Simplified Arabic" w:hAnsi="Simplified Arabic" w:cs="Simplified Arabic"/>
          <w:sz w:val="28"/>
          <w:szCs w:val="28"/>
          <w:rtl/>
          <w:lang w:bidi="ar-EG"/>
        </w:rPr>
        <w:t>وفيها يطور المتعلمون نظرياتهم ويعيدون النظر في الأنماط الفكرية التى كَوّنوها، وتعتمد على استخدام المنطق والتفكير أكثر من المشاعر لفهم المواقف.</w:t>
      </w:r>
    </w:p>
    <w:p>
      <w:pPr>
        <w:spacing w:before="120" w:after="120"/>
        <w:ind w:left="50"/>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 xml:space="preserve">المرحلة الرابعة:وهي مرحلة التجريب النشط </w:t>
      </w:r>
      <w:r>
        <w:rPr>
          <w:rFonts w:ascii="Simplified Arabic" w:hAnsi="Simplified Arabic" w:cs="Simplified Arabic"/>
          <w:sz w:val="28"/>
          <w:szCs w:val="28"/>
          <w:rtl/>
          <w:lang w:bidi="ar-EG"/>
        </w:rPr>
        <w:t>، ويأخذ فيها التعلم شكل التجريب النشط من خلال أعمال حقيقية للتأثير وتغيير المواقف وحل المشكلات ، حيث يقترح المتعلمون الطرق التي تمكنهم من تطبيق المبادئ التي تعلموها.</w:t>
      </w:r>
    </w:p>
    <w:p>
      <w:pPr>
        <w:spacing w:before="240" w:after="0" w:line="440" w:lineRule="exact"/>
        <w:contextualSpacing/>
        <w:jc w:val="both"/>
        <w:rPr>
          <w:rFonts w:ascii="Simplified Arabic" w:eastAsia="Times New Roman" w:hAnsi="Simplified Arabic" w:cs="Simplified Arabic"/>
          <w:b/>
          <w:bCs/>
          <w:sz w:val="30"/>
          <w:szCs w:val="30"/>
          <w:rtl/>
          <w:lang w:bidi="ar-EG"/>
        </w:rPr>
      </w:pPr>
      <w:r>
        <w:rPr>
          <w:rFonts w:ascii="Simplified Arabic" w:eastAsia="Times New Roman" w:hAnsi="Simplified Arabic" w:cs="Simplified Arabic" w:hint="cs"/>
          <w:b/>
          <w:bCs/>
          <w:sz w:val="30"/>
          <w:szCs w:val="30"/>
          <w:rtl/>
          <w:lang w:bidi="ar-EG"/>
        </w:rPr>
        <w:t>ومن الدراسات التى إهتمت بنظرية التعلم الخبراتى</w:t>
      </w:r>
      <w:r>
        <w:rPr>
          <w:rFonts w:ascii="Simplified Arabic" w:eastAsia="Times New Roman" w:hAnsi="Simplified Arabic" w:cs="Simplified Arabic"/>
          <w:b/>
          <w:bCs/>
          <w:sz w:val="30"/>
          <w:szCs w:val="30"/>
          <w:rtl/>
          <w:lang w:bidi="ar-EG"/>
        </w:rPr>
        <w:t>:</w:t>
      </w:r>
    </w:p>
    <w:p>
      <w:pPr>
        <w:spacing w:after="0" w:line="440" w:lineRule="exact"/>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b/>
          <w:bCs/>
          <w:sz w:val="28"/>
          <w:szCs w:val="28"/>
          <w:rtl/>
          <w:lang w:bidi="ar-EG"/>
        </w:rPr>
        <w:t>دراسة(</w:t>
      </w:r>
      <w:r>
        <w:rPr>
          <w:rFonts w:ascii="Simplified Arabic" w:eastAsia="Times New Roman" w:hAnsi="Simplified Arabic" w:cs="Simplified Arabic"/>
          <w:b/>
          <w:bCs/>
          <w:sz w:val="28"/>
          <w:szCs w:val="28"/>
          <w:lang w:bidi="ar-EG"/>
        </w:rPr>
        <w:t>Dimmitt,2017</w:t>
      </w:r>
      <w:r>
        <w:rPr>
          <w:rFonts w:ascii="Simplified Arabic" w:eastAsia="Times New Roman" w:hAnsi="Simplified Arabic" w:cs="Simplified Arabic"/>
          <w:b/>
          <w:bCs/>
          <w:sz w:val="28"/>
          <w:szCs w:val="28"/>
          <w:rtl/>
          <w:lang w:bidi="ar-EG"/>
        </w:rPr>
        <w:t xml:space="preserve">) </w:t>
      </w:r>
      <w:r>
        <w:rPr>
          <w:rFonts w:ascii="Simplified Arabic" w:eastAsia="Times New Roman" w:hAnsi="Simplified Arabic" w:cs="Simplified Arabic"/>
          <w:sz w:val="28"/>
          <w:szCs w:val="28"/>
          <w:rtl/>
          <w:lang w:bidi="ar-EG"/>
        </w:rPr>
        <w:t>هدفت هذه الدراسة إلى معرفة أثر التعلم القائم على  المشاريع والتعلم التجريبي على تنمية مهارات التفكير النقدي لدى طلاب الجامعة ، وتوصلت نتائج الدراسة إلى أن للتعلم التجريبي تأثيراً فعالاً في تنمية مهارات التفكير النقدى لدى الطلاب</w:t>
      </w:r>
      <w:r>
        <w:rPr>
          <w:rFonts w:ascii="Simplified Arabic" w:eastAsia="Times New Roman" w:hAnsi="Simplified Arabic" w:cs="Simplified Arabic"/>
          <w:b/>
          <w:bCs/>
          <w:sz w:val="28"/>
          <w:szCs w:val="28"/>
          <w:rtl/>
          <w:lang w:bidi="ar-EG"/>
        </w:rPr>
        <w:t xml:space="preserve"> ، </w:t>
      </w:r>
      <w:r>
        <w:rPr>
          <w:rFonts w:ascii="Simplified Arabic" w:eastAsia="Times New Roman" w:hAnsi="Simplified Arabic" w:cs="Simplified Arabic"/>
          <w:sz w:val="28"/>
          <w:szCs w:val="28"/>
          <w:rtl/>
          <w:lang w:bidi="ar-EG"/>
        </w:rPr>
        <w:t>والتي تعد ضرورية للنجاح في الحياة الأكاديمية.</w:t>
      </w:r>
    </w:p>
    <w:p>
      <w:pPr>
        <w:spacing w:after="0" w:line="320" w:lineRule="exact"/>
        <w:ind w:firstLine="709"/>
        <w:contextualSpacing/>
        <w:jc w:val="both"/>
        <w:rPr>
          <w:rFonts w:ascii="Simplified Arabic" w:eastAsia="Times New Roman" w:hAnsi="Simplified Arabic" w:cs="Simplified Arabic"/>
          <w:b/>
          <w:bCs/>
          <w:sz w:val="12"/>
          <w:szCs w:val="12"/>
          <w:rtl/>
          <w:lang w:bidi="ar-EG"/>
        </w:rPr>
      </w:pPr>
    </w:p>
    <w:p>
      <w:pPr>
        <w:spacing w:before="240" w:after="0" w:line="440" w:lineRule="exact"/>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b/>
          <w:bCs/>
          <w:sz w:val="28"/>
          <w:szCs w:val="28"/>
          <w:rtl/>
          <w:lang w:bidi="ar-EG"/>
        </w:rPr>
        <w:t>دراسة(</w:t>
      </w:r>
      <w:r>
        <w:rPr>
          <w:rFonts w:ascii="Simplified Arabic" w:eastAsia="Times New Roman" w:hAnsi="Simplified Arabic" w:cs="Simplified Arabic"/>
          <w:b/>
          <w:bCs/>
          <w:sz w:val="28"/>
          <w:szCs w:val="28"/>
          <w:lang w:bidi="ar-EG"/>
        </w:rPr>
        <w:t>Coker,et.el,2017</w:t>
      </w:r>
      <w:r>
        <w:rPr>
          <w:rFonts w:ascii="Simplified Arabic" w:eastAsia="Times New Roman" w:hAnsi="Simplified Arabic" w:cs="Simplified Arabic"/>
          <w:b/>
          <w:bCs/>
          <w:sz w:val="28"/>
          <w:szCs w:val="28"/>
          <w:rtl/>
          <w:lang w:bidi="ar-EG"/>
        </w:rPr>
        <w:t xml:space="preserve">). </w:t>
      </w:r>
      <w:r>
        <w:rPr>
          <w:rFonts w:ascii="Simplified Arabic" w:eastAsia="Times New Roman" w:hAnsi="Simplified Arabic" w:cs="Simplified Arabic"/>
          <w:sz w:val="28"/>
          <w:szCs w:val="28"/>
          <w:rtl/>
          <w:lang w:bidi="ar-EG"/>
        </w:rPr>
        <w:t>التي هدفت إلى معرفة تأثير التعلم الخبراتي على عمق وتحصيل الطلاب ، وتوصلت نتائج الدراسة إلى وجود تأثير فعال للتعلم الخبراتي على مساعدة الطالب في التعمق في المعارف والمعلومات وتنمية قدراتهم في التحصيل الأكاديمى</w:t>
      </w:r>
    </w:p>
    <w:p>
      <w:pPr>
        <w:spacing w:before="240" w:after="0" w:line="240" w:lineRule="exact"/>
        <w:ind w:firstLine="709"/>
        <w:contextualSpacing/>
        <w:jc w:val="both"/>
        <w:rPr>
          <w:rFonts w:ascii="Simplified Arabic" w:eastAsia="Times New Roman" w:hAnsi="Simplified Arabic" w:cs="Simplified Arabic"/>
          <w:b/>
          <w:bCs/>
          <w:sz w:val="28"/>
          <w:szCs w:val="28"/>
          <w:rtl/>
          <w:lang w:bidi="ar-EG"/>
        </w:rPr>
      </w:pPr>
    </w:p>
    <w:p>
      <w:pPr>
        <w:spacing w:before="240" w:after="0" w:line="440" w:lineRule="exact"/>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b/>
          <w:bCs/>
          <w:sz w:val="28"/>
          <w:szCs w:val="28"/>
          <w:rtl/>
          <w:lang w:bidi="ar-EG"/>
        </w:rPr>
        <w:t>دراسة(</w:t>
      </w:r>
      <w:r>
        <w:rPr>
          <w:rFonts w:ascii="Simplified Arabic" w:eastAsia="Times New Roman" w:hAnsi="Simplified Arabic" w:cs="Simplified Arabic"/>
          <w:b/>
          <w:bCs/>
          <w:sz w:val="28"/>
          <w:szCs w:val="28"/>
          <w:lang w:bidi="ar-EG"/>
        </w:rPr>
        <w:t>Gundala,Et,al,2018</w:t>
      </w:r>
      <w:r>
        <w:rPr>
          <w:rFonts w:ascii="Simplified Arabic" w:eastAsia="Times New Roman" w:hAnsi="Simplified Arabic" w:cs="Simplified Arabic"/>
          <w:b/>
          <w:bCs/>
          <w:sz w:val="28"/>
          <w:szCs w:val="28"/>
          <w:rtl/>
          <w:lang w:bidi="ar-EG"/>
        </w:rPr>
        <w:t>).</w:t>
      </w:r>
      <w:r>
        <w:rPr>
          <w:rFonts w:ascii="Simplified Arabic" w:eastAsia="Times New Roman" w:hAnsi="Simplified Arabic" w:cs="Simplified Arabic"/>
          <w:sz w:val="28"/>
          <w:szCs w:val="28"/>
          <w:rtl/>
          <w:lang w:bidi="ar-EG"/>
        </w:rPr>
        <w:t xml:space="preserve">هدفت هذه الدراسة إلى استخدام المشاريع التعليمية القائمة على التعلم الخبراتي عبر مناهج برامج الدراسات العليا ،وتوصلت إلى فاعلية التعلم الخبراتي من تحسين التعلم وقدرة المتعلم على تطبيق المفاهيم والوصول إلى قرارات تتعلق بالحلول المناسبة </w:t>
      </w:r>
    </w:p>
    <w:p>
      <w:pPr>
        <w:spacing w:after="0" w:line="440" w:lineRule="exact"/>
        <w:ind w:left="-1" w:firstLine="709"/>
        <w:contextualSpacing/>
        <w:jc w:val="both"/>
        <w:rPr>
          <w:rFonts w:ascii="Simplified Arabic" w:eastAsia="Times New Roman" w:hAnsi="Simplified Arabic" w:cs="Simplified Arabic"/>
          <w:b/>
          <w:bCs/>
          <w:sz w:val="10"/>
          <w:szCs w:val="10"/>
          <w:rtl/>
          <w:lang w:bidi="ar-EG"/>
        </w:rPr>
      </w:pPr>
    </w:p>
    <w:p>
      <w:pPr>
        <w:spacing w:after="0" w:line="440" w:lineRule="exact"/>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b/>
          <w:bCs/>
          <w:sz w:val="28"/>
          <w:szCs w:val="28"/>
          <w:rtl/>
          <w:lang w:bidi="ar-EG"/>
        </w:rPr>
        <w:t>دراسة(</w:t>
      </w:r>
      <w:r>
        <w:rPr>
          <w:rFonts w:ascii="Simplified Arabic" w:eastAsia="Times New Roman" w:hAnsi="Simplified Arabic" w:cs="Simplified Arabic"/>
          <w:b/>
          <w:bCs/>
          <w:sz w:val="28"/>
          <w:szCs w:val="28"/>
          <w:lang w:bidi="ar-EG"/>
        </w:rPr>
        <w:t>Wynn,2018</w:t>
      </w:r>
      <w:r>
        <w:rPr>
          <w:rFonts w:ascii="Simplified Arabic" w:eastAsia="Times New Roman" w:hAnsi="Simplified Arabic" w:cs="Simplified Arabic"/>
          <w:b/>
          <w:bCs/>
          <w:sz w:val="28"/>
          <w:szCs w:val="28"/>
          <w:rtl/>
          <w:lang w:bidi="ar-EG"/>
        </w:rPr>
        <w:t>).</w:t>
      </w:r>
      <w:r>
        <w:rPr>
          <w:rFonts w:ascii="Simplified Arabic" w:eastAsia="Times New Roman" w:hAnsi="Simplified Arabic" w:cs="Simplified Arabic"/>
          <w:sz w:val="28"/>
          <w:szCs w:val="28"/>
          <w:rtl/>
          <w:lang w:bidi="ar-EG"/>
        </w:rPr>
        <w:t>التي</w:t>
      </w:r>
      <w:r>
        <w:rPr>
          <w:rFonts w:ascii="Simplified Arabic" w:eastAsia="Times New Roman" w:hAnsi="Simplified Arabic" w:cs="Simplified Arabic"/>
          <w:b/>
          <w:bCs/>
          <w:sz w:val="28"/>
          <w:szCs w:val="28"/>
          <w:rtl/>
          <w:lang w:bidi="ar-EG"/>
        </w:rPr>
        <w:t xml:space="preserve"> </w:t>
      </w:r>
      <w:r>
        <w:rPr>
          <w:rFonts w:ascii="Simplified Arabic" w:eastAsia="Times New Roman" w:hAnsi="Simplified Arabic" w:cs="Simplified Arabic"/>
          <w:sz w:val="28"/>
          <w:szCs w:val="28"/>
          <w:rtl/>
          <w:lang w:bidi="ar-EG"/>
        </w:rPr>
        <w:t>هدفت إلى معرفة أثر التعلم الخبراتي في تنمية قدرة المتعلمين على معالجة المعلومات والتحصيل الأكاديمي ، وتوصلت إلى الأثر الإيجابي الفعال في قدرة المتعلمين علي تكوين المعرفة والتحصيل نتيجة لاستخدام التعلم الخبراتي في تخصصات مختلفة.</w:t>
      </w:r>
    </w:p>
    <w:p>
      <w:pPr>
        <w:spacing w:after="0" w:line="260" w:lineRule="exact"/>
        <w:ind w:firstLine="709"/>
        <w:contextualSpacing/>
        <w:jc w:val="both"/>
        <w:rPr>
          <w:rFonts w:eastAsia="Times New Roman" w:cs="Simplified Arabic"/>
          <w:b/>
          <w:bCs/>
          <w:sz w:val="10"/>
          <w:szCs w:val="10"/>
          <w:rtl/>
          <w:lang w:bidi="ar-EG"/>
        </w:rPr>
      </w:pPr>
    </w:p>
    <w:p>
      <w:pPr>
        <w:spacing w:after="0" w:line="440" w:lineRule="exact"/>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b/>
          <w:bCs/>
          <w:sz w:val="28"/>
          <w:szCs w:val="28"/>
          <w:rtl/>
          <w:lang w:bidi="ar-EG"/>
        </w:rPr>
        <w:t>دراسة(</w:t>
      </w:r>
      <w:r>
        <w:rPr>
          <w:rFonts w:ascii="Simplified Arabic" w:eastAsia="Times New Roman" w:hAnsi="Simplified Arabic" w:cs="Simplified Arabic"/>
          <w:b/>
          <w:bCs/>
          <w:sz w:val="28"/>
          <w:szCs w:val="28"/>
          <w:lang w:bidi="ar-EG"/>
        </w:rPr>
        <w:t>Sudria&amp;et.</w:t>
      </w:r>
      <w:r>
        <w:rPr>
          <w:rFonts w:ascii="Simplified Arabic" w:eastAsia="Times New Roman" w:hAnsi="Simplified Arabic" w:cs="Simplified Arabic"/>
          <w:sz w:val="28"/>
          <w:szCs w:val="28"/>
          <w:lang w:bidi="ar-EG"/>
        </w:rPr>
        <w:t>al,2018</w:t>
      </w:r>
      <w:r>
        <w:rPr>
          <w:rFonts w:ascii="Simplified Arabic" w:eastAsia="Times New Roman" w:hAnsi="Simplified Arabic" w:cs="Simplified Arabic" w:hint="cs"/>
          <w:sz w:val="28"/>
          <w:szCs w:val="28"/>
          <w:rtl/>
          <w:lang w:bidi="ar-EG"/>
        </w:rPr>
        <w:t>) هدفت إلى معرفة تأثير أنماط التعلم لكولب فى ظل التعلم الإستقصائى الموجه على نتائج التعلم لدى طلاب المرحلة الثانوية، وتوصلت نتائج الدراسة إلى نتائج إيجابية لصالح المجوعة التى تم التدريس لها وفق أساليب التعلم لكولب.</w:t>
      </w:r>
    </w:p>
    <w:p>
      <w:pPr>
        <w:spacing w:after="0" w:line="260" w:lineRule="exact"/>
        <w:ind w:firstLine="709"/>
        <w:contextualSpacing/>
        <w:jc w:val="both"/>
        <w:rPr>
          <w:rFonts w:ascii="Simplified Arabic" w:eastAsia="Times New Roman" w:hAnsi="Simplified Arabic" w:cs="Simplified Arabic"/>
          <w:b/>
          <w:bCs/>
          <w:sz w:val="18"/>
          <w:szCs w:val="18"/>
          <w:rtl/>
          <w:lang w:bidi="ar-EG"/>
        </w:rPr>
      </w:pPr>
    </w:p>
    <w:p>
      <w:pPr>
        <w:spacing w:after="0" w:line="440" w:lineRule="exact"/>
        <w:ind w:left="-1" w:firstLine="709"/>
        <w:contextualSpacing/>
        <w:jc w:val="both"/>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b/>
          <w:bCs/>
          <w:sz w:val="28"/>
          <w:szCs w:val="28"/>
          <w:rtl/>
          <w:lang w:bidi="ar-EG"/>
        </w:rPr>
        <w:t>دراسة لطفي(2020).</w:t>
      </w:r>
      <w:r>
        <w:rPr>
          <w:rFonts w:ascii="Simplified Arabic" w:eastAsia="Times New Roman" w:hAnsi="Simplified Arabic" w:cs="Simplified Arabic"/>
          <w:sz w:val="28"/>
          <w:szCs w:val="28"/>
          <w:rtl/>
          <w:lang w:bidi="ar-EG"/>
        </w:rPr>
        <w:t>التي استهدفت تقصي فاعلية برنامج قائم على التعلم الخبراتي في تنمية مهارات تنفيذ التدريس والتفكير الإيجابي لدى الطالبات المعلمات،</w:t>
      </w:r>
      <w:r>
        <w:rPr>
          <w:rFonts w:ascii="Simplified Arabic" w:eastAsia="Times New Roman" w:hAnsi="Simplified Arabic" w:cs="Simplified Arabic" w:hint="cs"/>
          <w:sz w:val="28"/>
          <w:szCs w:val="28"/>
          <w:rtl/>
          <w:lang w:bidi="ar-EG"/>
        </w:rPr>
        <w:t xml:space="preserve"> </w:t>
      </w:r>
      <w:r>
        <w:rPr>
          <w:rFonts w:ascii="Simplified Arabic" w:eastAsia="Times New Roman" w:hAnsi="Simplified Arabic" w:cs="Simplified Arabic"/>
          <w:sz w:val="28"/>
          <w:szCs w:val="28"/>
          <w:rtl/>
          <w:lang w:bidi="ar-EG"/>
        </w:rPr>
        <w:t>وأظهرت النتائج فاعلية البرنامج في تنمية مهارات تنفيذ التدريس ومهارات التفكير الايجابي لدى الطالبات المعلمات</w:t>
      </w:r>
      <w:r>
        <w:rPr>
          <w:rFonts w:ascii="Simplified Arabic" w:eastAsia="Times New Roman" w:hAnsi="Simplified Arabic" w:cs="Simplified Arabic"/>
          <w:b/>
          <w:bCs/>
          <w:sz w:val="28"/>
          <w:szCs w:val="28"/>
          <w:rtl/>
          <w:lang w:bidi="ar-EG"/>
        </w:rPr>
        <w:t>.</w:t>
      </w:r>
    </w:p>
    <w:p>
      <w:pPr>
        <w:spacing w:after="0" w:line="440" w:lineRule="exact"/>
        <w:contextualSpacing/>
        <w:jc w:val="both"/>
        <w:rPr>
          <w:rFonts w:ascii="Simplified Arabic" w:eastAsia="Times New Roman" w:hAnsi="Simplified Arabic" w:cs="Simplified Arabic"/>
          <w:b/>
          <w:bCs/>
          <w:sz w:val="28"/>
          <w:szCs w:val="28"/>
          <w:rtl/>
          <w:lang w:bidi="ar-EG"/>
        </w:rPr>
      </w:pPr>
    </w:p>
    <w:p>
      <w:pPr>
        <w:spacing w:after="0" w:line="260" w:lineRule="exact"/>
        <w:ind w:firstLine="709"/>
        <w:contextualSpacing/>
        <w:jc w:val="both"/>
        <w:rPr>
          <w:rFonts w:ascii="Simplified Arabic" w:eastAsia="Times New Roman" w:hAnsi="Simplified Arabic" w:cs="Simplified Arabic"/>
          <w:b/>
          <w:bCs/>
          <w:sz w:val="12"/>
          <w:szCs w:val="12"/>
          <w:rtl/>
          <w:lang w:bidi="ar-EG"/>
        </w:rPr>
      </w:pPr>
    </w:p>
    <w:p>
      <w:pPr>
        <w:spacing w:after="0" w:line="440" w:lineRule="exact"/>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b/>
          <w:bCs/>
          <w:sz w:val="28"/>
          <w:szCs w:val="28"/>
          <w:rtl/>
          <w:lang w:bidi="ar-EG"/>
        </w:rPr>
        <w:t xml:space="preserve">دراسة البديوي(2021). </w:t>
      </w:r>
      <w:r>
        <w:rPr>
          <w:rFonts w:ascii="Simplified Arabic" w:eastAsia="Times New Roman" w:hAnsi="Simplified Arabic" w:cs="Simplified Arabic"/>
          <w:sz w:val="28"/>
          <w:szCs w:val="28"/>
          <w:rtl/>
          <w:lang w:bidi="ar-EG"/>
        </w:rPr>
        <w:t>التي هدفت إلى تعٌرف فاعلية البرنامج التدريبي القائم على التعلم الخبراتي في الاندماج الأكاديمي والرشاقة المعرفية لدي طالبات كلية الدراسات الإنسانية ، وأظهرت النتائج وجود فروق ذات دلالة إحصائية لصالح المجموعة التجريبية، مما يدل على فاعلية البرنامج المستخدم.</w:t>
      </w:r>
    </w:p>
    <w:p>
      <w:pPr>
        <w:spacing w:after="0" w:line="260" w:lineRule="exact"/>
        <w:ind w:firstLine="709"/>
        <w:contextualSpacing/>
        <w:jc w:val="both"/>
        <w:rPr>
          <w:rFonts w:ascii="Simplified Arabic" w:eastAsia="Times New Roman" w:hAnsi="Simplified Arabic" w:cs="Simplified Arabic"/>
          <w:b/>
          <w:bCs/>
          <w:sz w:val="14"/>
          <w:szCs w:val="14"/>
          <w:rtl/>
          <w:lang w:bidi="ar-EG"/>
        </w:rPr>
      </w:pPr>
    </w:p>
    <w:p>
      <w:pPr>
        <w:spacing w:after="0" w:line="440" w:lineRule="exact"/>
        <w:ind w:left="-1" w:firstLine="709"/>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b/>
          <w:bCs/>
          <w:sz w:val="28"/>
          <w:szCs w:val="28"/>
          <w:rtl/>
          <w:lang w:bidi="ar-EG"/>
        </w:rPr>
        <w:t xml:space="preserve">دراسة كيشار(2022) </w:t>
      </w:r>
      <w:r>
        <w:rPr>
          <w:rFonts w:ascii="Simplified Arabic" w:eastAsia="Times New Roman" w:hAnsi="Simplified Arabic" w:cs="Simplified Arabic"/>
          <w:sz w:val="28"/>
          <w:szCs w:val="28"/>
          <w:rtl/>
          <w:lang w:bidi="ar-EG"/>
        </w:rPr>
        <w:t>هدفت إلى معرفه فعالية برنامج تدريبي قائم على نظرية التعلم الخبراتي لكولب في التفكير الإستراتيجي لدى عينة من طلاب الجامعه،وتوصلت نتائج الدراسة إلى وجود فروق ذات دلالة إحصائية لصالح المجموعة التجريبية ،مما يدل على فعالية البرنامج القائم على التعلم الخبراتي .</w:t>
      </w:r>
    </w:p>
    <w:p>
      <w:pPr>
        <w:spacing w:before="240" w:after="0" w:line="440" w:lineRule="exact"/>
        <w:ind w:left="-1" w:firstLine="709"/>
        <w:contextualSpacing/>
        <w:jc w:val="both"/>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b/>
          <w:bCs/>
          <w:sz w:val="28"/>
          <w:szCs w:val="28"/>
          <w:rtl/>
          <w:lang w:bidi="ar-EG"/>
        </w:rPr>
        <w:t>ومن خلال ما تم عرضه من دراسات يتضح ما يلي:</w:t>
      </w:r>
    </w:p>
    <w:p>
      <w:pPr>
        <w:numPr>
          <w:ilvl w:val="0"/>
          <w:numId w:val="11"/>
        </w:numPr>
        <w:spacing w:after="0" w:line="360" w:lineRule="auto"/>
        <w:ind w:left="330" w:hanging="284"/>
        <w:contextualSpacing/>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t>أهمية التعلم الخبراتي في تنمية الكثير من جوانب التعلم المختلفة، فهو وسيلة للتعلم واكتساب المعارف والخبرات وتطبيق التعلم في مواقف فعلية.</w:t>
      </w:r>
    </w:p>
    <w:p>
      <w:pPr>
        <w:spacing w:after="0" w:line="360" w:lineRule="auto"/>
        <w:ind w:left="46"/>
        <w:contextualSpacing/>
        <w:jc w:val="both"/>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hint="cs"/>
          <w:b/>
          <w:bCs/>
          <w:sz w:val="28"/>
          <w:szCs w:val="28"/>
          <w:rtl/>
          <w:lang w:bidi="ar-EG"/>
        </w:rPr>
        <w:t>إجراءات البحث:</w:t>
      </w:r>
    </w:p>
    <w:p>
      <w:pPr>
        <w:spacing w:after="0" w:line="360" w:lineRule="auto"/>
        <w:ind w:left="46"/>
        <w:contextualSpacing/>
        <w:jc w:val="both"/>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hint="cs"/>
          <w:b/>
          <w:bCs/>
          <w:sz w:val="28"/>
          <w:szCs w:val="28"/>
          <w:rtl/>
          <w:lang w:bidi="ar-EG"/>
        </w:rPr>
        <w:t>ولإعداد مقياس الإتجاه اتبعت الباحثة الخطوات التالية :</w:t>
      </w:r>
    </w:p>
    <w:p>
      <w:pPr>
        <w:ind w:left="206"/>
        <w:rPr>
          <w:rFonts w:ascii="Cambria" w:eastAsia="Calibri" w:hAnsi="Cambria" w:cs="Arial"/>
          <w:b/>
          <w:bCs/>
          <w:sz w:val="28"/>
          <w:szCs w:val="28"/>
          <w:rtl/>
          <w:lang w:bidi="ar-EG"/>
        </w:rPr>
      </w:pPr>
      <w:r>
        <w:rPr>
          <w:rFonts w:ascii="Simplified Arabic" w:eastAsia="Times New Roman" w:hAnsi="Simplified Arabic" w:cs="Simplified Arabic" w:hint="cs"/>
          <w:b/>
          <w:bCs/>
          <w:sz w:val="28"/>
          <w:szCs w:val="28"/>
          <w:rtl/>
          <w:lang w:bidi="ar-EG"/>
        </w:rPr>
        <w:t>أ</w:t>
      </w:r>
      <w:r>
        <w:rPr>
          <w:rFonts w:ascii="Cambria" w:eastAsia="Calibri" w:hAnsi="Cambria" w:cs="Arial" w:hint="cs"/>
          <w:b/>
          <w:bCs/>
          <w:sz w:val="28"/>
          <w:szCs w:val="28"/>
          <w:rtl/>
          <w:lang w:bidi="ar-EG"/>
        </w:rPr>
        <w:t>-تحديد الهدف من مقياس الإتجاه نحو الماده:</w:t>
      </w:r>
    </w:p>
    <w:p>
      <w:pPr>
        <w:spacing w:after="0" w:line="360" w:lineRule="auto"/>
        <w:ind w:left="46"/>
        <w:contextualSpacing/>
        <w:jc w:val="both"/>
        <w:rPr>
          <w:rFonts w:ascii="Cambria" w:eastAsia="Calibri" w:hAnsi="Cambria" w:cs="Arial"/>
          <w:sz w:val="28"/>
          <w:szCs w:val="28"/>
          <w:rtl/>
          <w:lang w:bidi="ar-EG"/>
        </w:rPr>
      </w:pPr>
      <w:r>
        <w:rPr>
          <w:rFonts w:ascii="Cambria" w:eastAsia="Calibri" w:hAnsi="Cambria" w:cs="Arial" w:hint="cs"/>
          <w:sz w:val="28"/>
          <w:szCs w:val="28"/>
          <w:rtl/>
          <w:lang w:bidi="ar-EG"/>
        </w:rPr>
        <w:t>إستهدف البحث قياس إتجاه طلاب المرحلة الثانوية نحو ماده الفلسفة.</w:t>
      </w:r>
    </w:p>
    <w:p>
      <w:pPr>
        <w:spacing w:after="0" w:line="360" w:lineRule="auto"/>
        <w:ind w:left="46"/>
        <w:contextualSpacing/>
        <w:jc w:val="both"/>
        <w:rPr>
          <w:rFonts w:ascii="Cambria" w:eastAsia="Calibri" w:hAnsi="Cambria" w:cs="Arial"/>
          <w:b/>
          <w:bCs/>
          <w:sz w:val="28"/>
          <w:szCs w:val="28"/>
          <w:rtl/>
          <w:lang w:bidi="ar-EG"/>
        </w:rPr>
      </w:pPr>
      <w:r>
        <w:rPr>
          <w:rFonts w:ascii="Cambria" w:eastAsia="Calibri" w:hAnsi="Cambria" w:cs="Arial" w:hint="cs"/>
          <w:b/>
          <w:bCs/>
          <w:sz w:val="28"/>
          <w:szCs w:val="28"/>
          <w:rtl/>
          <w:lang w:bidi="ar-EG"/>
        </w:rPr>
        <w:t>ب- تحديد أبعاد المقياس:</w:t>
      </w:r>
    </w:p>
    <w:p>
      <w:pPr>
        <w:ind w:left="360"/>
        <w:rPr>
          <w:rFonts w:ascii="Cambria" w:eastAsia="Calibri" w:hAnsi="Cambria" w:cs="Arial"/>
          <w:sz w:val="28"/>
          <w:szCs w:val="28"/>
          <w:rtl/>
          <w:lang w:bidi="ar-EG"/>
        </w:rPr>
      </w:pPr>
      <w:r>
        <w:rPr>
          <w:rFonts w:ascii="Cambria" w:eastAsia="Calibri" w:hAnsi="Cambria" w:cs="Arial" w:hint="cs"/>
          <w:sz w:val="28"/>
          <w:szCs w:val="28"/>
          <w:rtl/>
          <w:lang w:bidi="ar-EG"/>
        </w:rPr>
        <w:t>تم تحديد أبعاد المقياس من خلال مراجعة الأدبيات والبحوث والدراسات السابقة التى إهتمت بالإتجاه نحو مادة الفلسفة ، ففى ضوء الدراسات والبحوث السابقة وآراء المحكمين ، حددت الباحثة أبعاد مقياس الإتجاه نحو الفلسفة فى ثلاث أبعاد أساسية وهى (طبيعة ماده الفلسفة وأهميتها-معلم المواد الفلسفية-طرق تدريس المواد الفلسفية).</w:t>
      </w:r>
    </w:p>
    <w:p>
      <w:pPr>
        <w:rPr>
          <w:rFonts w:ascii="Cambria" w:eastAsia="Calibri" w:hAnsi="Cambria" w:cs="Arial"/>
          <w:b/>
          <w:bCs/>
          <w:sz w:val="28"/>
          <w:szCs w:val="28"/>
          <w:rtl/>
          <w:lang w:bidi="ar-EG"/>
        </w:rPr>
      </w:pPr>
      <w:r>
        <w:rPr>
          <w:rFonts w:ascii="Cambria" w:eastAsia="Calibri" w:hAnsi="Cambria" w:cs="Arial" w:hint="cs"/>
          <w:b/>
          <w:bCs/>
          <w:sz w:val="28"/>
          <w:szCs w:val="28"/>
          <w:rtl/>
          <w:lang w:bidi="ar-EG"/>
        </w:rPr>
        <w:t>ج- صياغة عبارات مقياس الإتجاه نحو الماده:</w:t>
      </w:r>
    </w:p>
    <w:p>
      <w:pPr>
        <w:rPr>
          <w:rFonts w:ascii="Cambria" w:eastAsia="Calibri" w:hAnsi="Cambria" w:cs="Arial"/>
          <w:sz w:val="28"/>
          <w:szCs w:val="28"/>
          <w:rtl/>
          <w:lang w:bidi="ar-EG"/>
        </w:rPr>
      </w:pPr>
      <w:r>
        <w:rPr>
          <w:rFonts w:ascii="Cambria" w:eastAsia="Calibri" w:hAnsi="Cambria" w:cs="Arial" w:hint="cs"/>
          <w:sz w:val="28"/>
          <w:szCs w:val="28"/>
          <w:rtl/>
          <w:lang w:bidi="ar-EG"/>
        </w:rPr>
        <w:t>تم صياغة المقياس فى صورة عبارات تعبر عن الأبعاد التى تم تحديدها، وعلى الطلاب أن يدون إجابته من خلال وضع علامه(</w:t>
      </w:r>
      <w:r>
        <w:rPr>
          <w:rFonts w:ascii="Cambria" w:eastAsia="Calibri" w:hAnsi="Cambria" w:cs="Arial"/>
          <w:sz w:val="28"/>
          <w:szCs w:val="28"/>
          <w:rtl/>
          <w:lang w:bidi="ar-EG"/>
        </w:rPr>
        <w:t>√</w:t>
      </w:r>
      <w:r>
        <w:rPr>
          <w:rFonts w:ascii="Cambria" w:eastAsia="Calibri" w:hAnsi="Cambria" w:cs="Arial" w:hint="cs"/>
          <w:sz w:val="28"/>
          <w:szCs w:val="28"/>
          <w:rtl/>
          <w:lang w:bidi="ar-EG"/>
        </w:rPr>
        <w:t xml:space="preserve">) أمام العبارة التى يجدها معبره عن إتجاهه، وتم إعداد المقياس  </w:t>
      </w:r>
      <w:r>
        <w:rPr>
          <w:rFonts w:ascii="Cambria" w:eastAsia="Calibri" w:hAnsi="Cambria" w:cs="Arial" w:hint="cs"/>
          <w:sz w:val="28"/>
          <w:szCs w:val="28"/>
          <w:rtl/>
          <w:lang w:bidi="ar-EG"/>
        </w:rPr>
        <w:lastRenderedPageBreak/>
        <w:t>وفقاً لطريقة ليكرت الخماسية ، لملائمتها لعينه الدراسة وهى (أوافق بشده-أوافق-غير متأكد-أرفض_أرفض بشده) وذلك لإرتفاع صدقها وثباتها،بالإضافة إلى قدرة كل طالب على التعبير عن إتجاهه فيها، وقد بلغت عبارات المقياس (50) مفرده تم تقسيمها لعبارات موجبة وسالبة ، وأمام كل عبارة خمس إستجابات  يختار كل طالب ما يناسبة منها ويعبر عن رآية، وكان التقدير فى صورة(5-4-3-2-1) للعبارات الموجبة ،أما للعبارات السالبة فكان(1-2-3-4-5) .</w:t>
      </w:r>
    </w:p>
    <w:p>
      <w:pPr>
        <w:rPr>
          <w:rFonts w:ascii="Cambria" w:eastAsia="Calibri" w:hAnsi="Cambria" w:cs="Arial"/>
          <w:b/>
          <w:bCs/>
          <w:sz w:val="28"/>
          <w:szCs w:val="28"/>
          <w:rtl/>
          <w:lang w:bidi="ar-EG"/>
        </w:rPr>
      </w:pPr>
      <w:r>
        <w:rPr>
          <w:rFonts w:ascii="Cambria" w:eastAsia="Calibri" w:hAnsi="Cambria" w:cs="Arial" w:hint="cs"/>
          <w:b/>
          <w:bCs/>
          <w:sz w:val="28"/>
          <w:szCs w:val="28"/>
          <w:rtl/>
          <w:lang w:bidi="ar-EG"/>
        </w:rPr>
        <w:t>د- جدول مواصفات المقياس:</w:t>
      </w:r>
    </w:p>
    <w:p>
      <w:pPr>
        <w:rPr>
          <w:rFonts w:ascii="Cambria" w:eastAsia="Calibri" w:hAnsi="Cambria" w:cs="Arial"/>
          <w:sz w:val="28"/>
          <w:szCs w:val="28"/>
          <w:rtl/>
          <w:lang w:bidi="ar-EG"/>
        </w:rPr>
      </w:pPr>
      <w:r>
        <w:rPr>
          <w:rFonts w:ascii="Cambria" w:eastAsia="Calibri" w:hAnsi="Cambria" w:cs="Arial" w:hint="cs"/>
          <w:sz w:val="28"/>
          <w:szCs w:val="28"/>
          <w:rtl/>
          <w:lang w:bidi="ar-EG"/>
        </w:rPr>
        <w:t>تم إعداد جدول مواصفات لمقياس الإتجاه نحو الماده يتضمن عبارات موجبة وسالبة كما يلى:</w:t>
      </w:r>
    </w:p>
    <w:p>
      <w:pPr>
        <w:rPr>
          <w:rFonts w:ascii="Cambria" w:eastAsia="Calibri" w:hAnsi="Cambria" w:cs="Arial"/>
          <w:sz w:val="28"/>
          <w:szCs w:val="28"/>
          <w:rtl/>
          <w:lang w:bidi="ar-EG"/>
        </w:rPr>
      </w:pPr>
    </w:p>
    <w:tbl>
      <w:tblPr>
        <w:tblStyle w:val="TableGrid14"/>
        <w:bidiVisual/>
        <w:tblW w:w="7733" w:type="dxa"/>
        <w:jc w:val="center"/>
        <w:tblLook w:val="04A0" w:firstRow="1" w:lastRow="0" w:firstColumn="1" w:lastColumn="0" w:noHBand="0" w:noVBand="1"/>
      </w:tblPr>
      <w:tblGrid>
        <w:gridCol w:w="623"/>
        <w:gridCol w:w="2895"/>
        <w:gridCol w:w="2144"/>
        <w:gridCol w:w="2071"/>
      </w:tblGrid>
      <w:tr>
        <w:trPr>
          <w:jc w:val="center"/>
        </w:trPr>
        <w:tc>
          <w:tcPr>
            <w:tcW w:w="623" w:type="dxa"/>
            <w:vMerge w:val="restart"/>
          </w:tcPr>
          <w:p>
            <w:pPr>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t>م</w:t>
            </w:r>
          </w:p>
          <w:p>
            <w:pPr>
              <w:rPr>
                <w:rFonts w:ascii="Cambria" w:eastAsia="Times New Roman" w:hAnsi="Cambria" w:cs="Simplified Arabic"/>
                <w:sz w:val="28"/>
                <w:szCs w:val="28"/>
                <w:rtl/>
                <w:lang w:bidi="ar-EG"/>
              </w:rPr>
            </w:pPr>
          </w:p>
        </w:tc>
        <w:tc>
          <w:tcPr>
            <w:tcW w:w="2895" w:type="dxa"/>
            <w:vMerge w:val="restart"/>
          </w:tcPr>
          <w:p>
            <w:pPr>
              <w:jc w:val="center"/>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t>الأبعاد</w:t>
            </w:r>
          </w:p>
        </w:tc>
        <w:tc>
          <w:tcPr>
            <w:tcW w:w="4215" w:type="dxa"/>
            <w:gridSpan w:val="2"/>
          </w:tcPr>
          <w:p>
            <w:pPr>
              <w:jc w:val="center"/>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t>أرقام العبارات</w:t>
            </w:r>
          </w:p>
        </w:tc>
      </w:tr>
      <w:tr>
        <w:trPr>
          <w:jc w:val="center"/>
        </w:trPr>
        <w:tc>
          <w:tcPr>
            <w:tcW w:w="623" w:type="dxa"/>
            <w:vMerge/>
          </w:tcPr>
          <w:p>
            <w:pPr>
              <w:rPr>
                <w:rFonts w:ascii="Cambria" w:eastAsia="Times New Roman" w:hAnsi="Cambria" w:cs="Simplified Arabic"/>
                <w:sz w:val="28"/>
                <w:szCs w:val="28"/>
                <w:rtl/>
                <w:lang w:bidi="ar-EG"/>
              </w:rPr>
            </w:pPr>
          </w:p>
        </w:tc>
        <w:tc>
          <w:tcPr>
            <w:tcW w:w="2895" w:type="dxa"/>
            <w:vMerge/>
          </w:tcPr>
          <w:p>
            <w:pPr>
              <w:rPr>
                <w:rFonts w:ascii="Cambria" w:eastAsia="Times New Roman" w:hAnsi="Cambria" w:cs="Simplified Arabic"/>
                <w:sz w:val="28"/>
                <w:szCs w:val="28"/>
                <w:rtl/>
                <w:lang w:bidi="ar-EG"/>
              </w:rPr>
            </w:pPr>
          </w:p>
        </w:tc>
        <w:tc>
          <w:tcPr>
            <w:tcW w:w="2144" w:type="dxa"/>
          </w:tcPr>
          <w:p>
            <w:pPr>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t>العبارات الموجبة</w:t>
            </w:r>
          </w:p>
        </w:tc>
        <w:tc>
          <w:tcPr>
            <w:tcW w:w="2071" w:type="dxa"/>
          </w:tcPr>
          <w:p>
            <w:pPr>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t>العبارات السالبة</w:t>
            </w:r>
          </w:p>
        </w:tc>
      </w:tr>
      <w:tr>
        <w:trPr>
          <w:jc w:val="center"/>
        </w:trPr>
        <w:tc>
          <w:tcPr>
            <w:tcW w:w="623" w:type="dxa"/>
          </w:tcPr>
          <w:p>
            <w:pPr>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t>1</w:t>
            </w:r>
          </w:p>
        </w:tc>
        <w:tc>
          <w:tcPr>
            <w:tcW w:w="2895" w:type="dxa"/>
          </w:tcPr>
          <w:p>
            <w:pPr>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t>طبيعة مادة الفلسفة وأهميتها</w:t>
            </w:r>
          </w:p>
        </w:tc>
        <w:tc>
          <w:tcPr>
            <w:tcW w:w="2144" w:type="dxa"/>
          </w:tcPr>
          <w:p>
            <w:pPr>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t>1-2-3-7-9-11-14-15-17</w:t>
            </w:r>
          </w:p>
        </w:tc>
        <w:tc>
          <w:tcPr>
            <w:tcW w:w="2071" w:type="dxa"/>
          </w:tcPr>
          <w:p>
            <w:pPr>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t>4-5-8-10-12-13-16-18</w:t>
            </w:r>
          </w:p>
        </w:tc>
      </w:tr>
      <w:tr>
        <w:trPr>
          <w:jc w:val="center"/>
        </w:trPr>
        <w:tc>
          <w:tcPr>
            <w:tcW w:w="623" w:type="dxa"/>
          </w:tcPr>
          <w:p>
            <w:pPr>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t>2</w:t>
            </w:r>
          </w:p>
        </w:tc>
        <w:tc>
          <w:tcPr>
            <w:tcW w:w="2895" w:type="dxa"/>
          </w:tcPr>
          <w:p>
            <w:pPr>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t>معلم المواد الفلسفية</w:t>
            </w:r>
          </w:p>
        </w:tc>
        <w:tc>
          <w:tcPr>
            <w:tcW w:w="2144" w:type="dxa"/>
          </w:tcPr>
          <w:p>
            <w:pPr>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t>19-20-21-25-26-27-29-31-33</w:t>
            </w:r>
          </w:p>
        </w:tc>
        <w:tc>
          <w:tcPr>
            <w:tcW w:w="2071" w:type="dxa"/>
          </w:tcPr>
          <w:p>
            <w:pPr>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t>22-23-24-28-30-32-34</w:t>
            </w:r>
          </w:p>
        </w:tc>
      </w:tr>
      <w:tr>
        <w:trPr>
          <w:jc w:val="center"/>
        </w:trPr>
        <w:tc>
          <w:tcPr>
            <w:tcW w:w="623" w:type="dxa"/>
          </w:tcPr>
          <w:p>
            <w:pPr>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t>3</w:t>
            </w:r>
          </w:p>
        </w:tc>
        <w:tc>
          <w:tcPr>
            <w:tcW w:w="2895" w:type="dxa"/>
          </w:tcPr>
          <w:p>
            <w:pPr>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t>طرق تدريس المواد الفلسفية</w:t>
            </w:r>
          </w:p>
        </w:tc>
        <w:tc>
          <w:tcPr>
            <w:tcW w:w="2144" w:type="dxa"/>
          </w:tcPr>
          <w:p>
            <w:pPr>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t>35-36-37-41-43-44-46-48-50</w:t>
            </w:r>
          </w:p>
        </w:tc>
        <w:tc>
          <w:tcPr>
            <w:tcW w:w="2071" w:type="dxa"/>
          </w:tcPr>
          <w:p>
            <w:pPr>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t>38-39-40-42-45-47-49</w:t>
            </w:r>
          </w:p>
        </w:tc>
      </w:tr>
    </w:tbl>
    <w:p>
      <w:pPr>
        <w:rPr>
          <w:rFonts w:ascii="Cambria" w:eastAsia="Calibri" w:hAnsi="Cambria" w:cs="Arial"/>
          <w:b/>
          <w:bCs/>
          <w:sz w:val="28"/>
          <w:szCs w:val="28"/>
          <w:rtl/>
          <w:lang w:bidi="ar-EG"/>
        </w:rPr>
      </w:pPr>
      <w:r>
        <w:rPr>
          <w:rFonts w:ascii="Cambria" w:eastAsia="Calibri" w:hAnsi="Cambria" w:cs="Arial" w:hint="cs"/>
          <w:b/>
          <w:bCs/>
          <w:sz w:val="28"/>
          <w:szCs w:val="28"/>
          <w:rtl/>
          <w:lang w:bidi="ar-EG"/>
        </w:rPr>
        <w:t>طريقة تصحيح مقياس الإتجاه نحو المادة:</w:t>
      </w:r>
    </w:p>
    <w:p>
      <w:pPr>
        <w:rPr>
          <w:rFonts w:ascii="Cambria" w:eastAsia="Calibri" w:hAnsi="Cambria" w:cs="Arial"/>
          <w:sz w:val="28"/>
          <w:szCs w:val="28"/>
          <w:rtl/>
          <w:lang w:bidi="ar-EG"/>
        </w:rPr>
      </w:pPr>
      <w:r>
        <w:rPr>
          <w:rFonts w:ascii="Cambria" w:eastAsia="Calibri" w:hAnsi="Cambria" w:cs="Arial" w:hint="cs"/>
          <w:b/>
          <w:bCs/>
          <w:sz w:val="28"/>
          <w:szCs w:val="28"/>
          <w:rtl/>
          <w:lang w:bidi="ar-EG"/>
        </w:rPr>
        <w:t xml:space="preserve">تم حساب التقدير الكمى لعبارات المقياس من خلال عرضه على مجموعه من السادة المحكمين فى مجال المناهج وطرق تدريس المواد الفلسفية  لتعرف آرائهم ؛حيث تم تصحيح المقياس من خلال إعطاء درجات (5-4-3-2-1) فى مقابل الإستجابة </w:t>
      </w:r>
      <w:bookmarkStart w:id="1" w:name="_Hlk219630759"/>
      <w:r>
        <w:rPr>
          <w:rFonts w:ascii="Cambria" w:eastAsia="Calibri" w:hAnsi="Cambria" w:cs="Arial" w:hint="cs"/>
          <w:b/>
          <w:bCs/>
          <w:sz w:val="28"/>
          <w:szCs w:val="28"/>
          <w:rtl/>
          <w:lang w:bidi="ar-EG"/>
        </w:rPr>
        <w:t>(</w:t>
      </w:r>
      <w:r>
        <w:rPr>
          <w:rFonts w:ascii="Cambria" w:eastAsia="Calibri" w:hAnsi="Cambria" w:cs="Arial" w:hint="cs"/>
          <w:sz w:val="28"/>
          <w:szCs w:val="28"/>
          <w:rtl/>
          <w:lang w:bidi="ar-EG"/>
        </w:rPr>
        <w:t xml:space="preserve">(أوافق بشده-أوافق-غير متأكد-أرفض_أرفض بشده) </w:t>
      </w:r>
      <w:bookmarkEnd w:id="1"/>
      <w:r>
        <w:rPr>
          <w:rFonts w:ascii="Cambria" w:eastAsia="Calibri" w:hAnsi="Cambria" w:cs="Arial" w:hint="cs"/>
          <w:sz w:val="28"/>
          <w:szCs w:val="28"/>
          <w:rtl/>
          <w:lang w:bidi="ar-EG"/>
        </w:rPr>
        <w:t>على الترتيب فى حالة العبارات الموجبة ، بينما تعطى درجات (1-2-3-4-5) فى حالة العبارات السالبة ، وبعد ذلك يتم حساب المجموع الكلى للمقياس من خلال المعادلة التالية:</w:t>
      </w:r>
    </w:p>
    <w:p>
      <w:pPr>
        <w:rPr>
          <w:rFonts w:ascii="Cambria" w:eastAsia="Calibri" w:hAnsi="Cambria" w:cs="Arial"/>
          <w:b/>
          <w:bCs/>
          <w:sz w:val="28"/>
          <w:szCs w:val="28"/>
          <w:rtl/>
          <w:lang w:bidi="ar-EG"/>
        </w:rPr>
      </w:pPr>
      <w:r>
        <w:rPr>
          <w:rFonts w:ascii="Cambria" w:eastAsia="Calibri" w:hAnsi="Cambria" w:cs="Arial"/>
          <w:b/>
          <w:bCs/>
          <w:noProof/>
          <w:sz w:val="28"/>
          <w:szCs w:val="28"/>
          <w:rtl/>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55245</wp:posOffset>
                </wp:positionV>
                <wp:extent cx="5353050" cy="447675"/>
                <wp:effectExtent l="0" t="0" r="19050" b="28575"/>
                <wp:wrapNone/>
                <wp:docPr id="1763021170" name="Rectangle 9"/>
                <wp:cNvGraphicFramePr/>
                <a:graphic xmlns:a="http://schemas.openxmlformats.org/drawingml/2006/main">
                  <a:graphicData uri="http://schemas.microsoft.com/office/word/2010/wordprocessingShape">
                    <wps:wsp>
                      <wps:cNvSpPr/>
                      <wps:spPr>
                        <a:xfrm>
                          <a:off x="0" y="0"/>
                          <a:ext cx="5353050" cy="447675"/>
                        </a:xfrm>
                        <a:prstGeom prst="rect">
                          <a:avLst/>
                        </a:prstGeom>
                        <a:solidFill>
                          <a:sysClr val="window" lastClr="FFFFFF"/>
                        </a:solidFill>
                        <a:ln w="25400" cap="flat" cmpd="sng" algn="ctr">
                          <a:solidFill>
                            <a:sysClr val="windowText" lastClr="000000"/>
                          </a:solidFill>
                          <a:prstDash val="solid"/>
                        </a:ln>
                        <a:effectLst/>
                      </wps:spPr>
                      <wps:txbx>
                        <w:txbxContent>
                          <w:p>
                            <w:pPr>
                              <w:jc w:val="center"/>
                              <w:rPr>
                                <w:b/>
                                <w:bCs/>
                                <w:color w:val="000000"/>
                                <w:sz w:val="28"/>
                                <w:szCs w:val="28"/>
                                <w:lang w:bidi="ar-EG"/>
                              </w:rPr>
                            </w:pPr>
                            <w:r>
                              <w:rPr>
                                <w:rFonts w:hint="cs"/>
                                <w:b/>
                                <w:bCs/>
                                <w:color w:val="000000"/>
                                <w:sz w:val="28"/>
                                <w:szCs w:val="28"/>
                                <w:rtl/>
                                <w:lang w:bidi="ar-EG"/>
                              </w:rPr>
                              <w:t>الدرجة الكلية للمقياس =عدد عبارات المقياس×عدد الإستجابات =50×5=250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8944AD4" id="Rectangle 9" o:spid="_x0000_s1027" style="position:absolute;left:0;text-align:left;margin-left:370.3pt;margin-top:4.35pt;width:421.5pt;height:35.2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637YwIAAOoEAAAOAAAAZHJzL2Uyb0RvYy54bWysVE1v2zAMvQ/YfxB0X+2kSdsFcYqgRYYB&#10;RVugHXpWZCk2IIsapcTOfv0o2U3Sj9MwHxRSoki+p8fMr7vGsJ1CX4Mt+Ogs50xZCWVtNwX/9bz6&#10;dsWZD8KWwoBVBd8rz68XX7/MWzdTY6jAlAoZJbF+1rqCVyG4WZZ5WalG+DNwytKhBmxEIBc3WYmi&#10;peyNycZ5fpG1gKVDkMp72r3tD/ki5ddayfCgtVeBmYJTbyGtmNZ1XLPFXMw2KFxVy6EN8Q9dNKK2&#10;VPSQ6lYEwbZYf0jV1BLBgw5nEpoMtK6lShgIzSh/h+apEk4lLESOdwea/P9LK+93T+4RiYbW+Zkn&#10;M6LoNDbxl/pjXSJrfyBLdYFJ2pyeT8/zKXEq6Wwyuby4nEY2s+Nthz78UNCwaBQc6TESR2J350Mf&#10;+hoSi3kwdbmqjUnO3t8YZDtB70bPXULLmRE+0GbBV+kbqr25ZixrCz6eTvLYmCBBaSMCmY0rC+7t&#10;hjNhNqRUGTD18ua2/1D0mdCeFM7T91nhCORW+KrvOGUdwoyNeFTS4oD7SHW0QrfuWE3tjeKNuLOG&#10;cv+IDKGXq3dyVVP+O8L/KJD0SeBo5sIDLdoAIYbB4qwC/PPZfown2dApZy3pndj4vRWoCN1PS4L6&#10;PppM4oAkZzK9HJODpyfr0xO7bW6AnmZE0+1kMmN8MK+mRmheaDSXsSodCSupds/74NyEfg5puKVa&#10;LlMYDYUT4c4+ORmTR+Yis8/di0A36CjQm9zD62yI2Ts59bHxpoXlNoCuk9aOvJJGo0MDldQ6DH+c&#10;2FM/RR3/ohZ/AQAA//8DAFBLAwQUAAYACAAAACEAqS0FCdwAAAAFAQAADwAAAGRycy9kb3ducmV2&#10;LnhtbEyPQUvDQBCF74L/YRnBS7Ebq9g0ZlNEEKR4aezF2zQZN6HZ2ZDdJum/dzzp8fHevPdNvp1d&#10;p0YaQuvZwP0yAUVc+bpla+Dw+XaXggoRucbOMxm4UIBtcX2VY1b7ifc0ltEqKeGQoYEmxj7TOlQN&#10;OQxL3xOL9+0Hh1HkYHU94CTlrtOrJHnSDluWhQZ7em2oOpVnJxgLfXi/jKXe2RNu+o9x2i2+rDG3&#10;N/PLM6hIc/wLwy++3EAhTEd/5jqozoA8Eg2ka1Bipo8Poo8G1psV6CLX/+mLHwAAAP//AwBQSwEC&#10;LQAUAAYACAAAACEAtoM4kv4AAADhAQAAEwAAAAAAAAAAAAAAAAAAAAAAW0NvbnRlbnRfVHlwZXNd&#10;LnhtbFBLAQItABQABgAIAAAAIQA4/SH/1gAAAJQBAAALAAAAAAAAAAAAAAAAAC8BAABfcmVscy8u&#10;cmVsc1BLAQItABQABgAIAAAAIQBt0637YwIAAOoEAAAOAAAAAAAAAAAAAAAAAC4CAABkcnMvZTJv&#10;RG9jLnhtbFBLAQItABQABgAIAAAAIQCpLQUJ3AAAAAUBAAAPAAAAAAAAAAAAAAAAAL0EAABkcnMv&#10;ZG93bnJldi54bWxQSwUGAAAAAAQABADzAAAAxgUAAAAA&#10;" fillcolor="window" strokecolor="windowText" strokeweight="2pt">
                <v:textbox>
                  <w:txbxContent>
                    <w:p w14:paraId="5DB0BE3C" w14:textId="77777777" w:rsidR="00E875DB" w:rsidRPr="0038329C" w:rsidRDefault="00E875DB" w:rsidP="00E875DB">
                      <w:pPr>
                        <w:jc w:val="center"/>
                        <w:rPr>
                          <w:b/>
                          <w:bCs/>
                          <w:color w:val="000000"/>
                          <w:sz w:val="28"/>
                          <w:szCs w:val="28"/>
                          <w:lang w:bidi="ar-EG"/>
                        </w:rPr>
                      </w:pPr>
                      <w:r w:rsidRPr="0038329C">
                        <w:rPr>
                          <w:rFonts w:hint="cs"/>
                          <w:b/>
                          <w:bCs/>
                          <w:color w:val="000000"/>
                          <w:sz w:val="28"/>
                          <w:szCs w:val="28"/>
                          <w:rtl/>
                          <w:lang w:bidi="ar-EG"/>
                        </w:rPr>
                        <w:t>الدرجة الكلية للمقياس =عدد عبارات المقياس×عدد الإستجابات =50×5=250</w:t>
                      </w:r>
                    </w:p>
                  </w:txbxContent>
                </v:textbox>
                <w10:wrap anchorx="margin"/>
              </v:rect>
            </w:pict>
          </mc:Fallback>
        </mc:AlternateContent>
      </w:r>
    </w:p>
    <w:p>
      <w:pPr>
        <w:rPr>
          <w:rFonts w:ascii="Cambria" w:eastAsia="Calibri" w:hAnsi="Cambria" w:cs="Arial"/>
          <w:sz w:val="28"/>
          <w:szCs w:val="28"/>
          <w:rtl/>
          <w:lang w:bidi="ar-EG"/>
        </w:rPr>
      </w:pPr>
    </w:p>
    <w:p>
      <w:pPr>
        <w:rPr>
          <w:rFonts w:ascii="Cambria" w:eastAsia="Calibri" w:hAnsi="Cambria" w:cs="Arial"/>
          <w:b/>
          <w:bCs/>
          <w:sz w:val="28"/>
          <w:szCs w:val="28"/>
          <w:rtl/>
          <w:lang w:bidi="ar-EG"/>
        </w:rPr>
      </w:pPr>
      <w:r>
        <w:rPr>
          <w:rFonts w:ascii="Cambria" w:eastAsia="Calibri" w:hAnsi="Cambria" w:cs="Arial" w:hint="cs"/>
          <w:b/>
          <w:bCs/>
          <w:sz w:val="28"/>
          <w:szCs w:val="28"/>
          <w:rtl/>
          <w:lang w:bidi="ar-EG"/>
        </w:rPr>
        <w:t>- صياغة تعليمات مقياس الإتجاه نحو مادة الفلسفة:</w:t>
      </w:r>
    </w:p>
    <w:p>
      <w:pPr>
        <w:ind w:left="206"/>
        <w:rPr>
          <w:rFonts w:ascii="Cambria" w:eastAsia="Calibri" w:hAnsi="Cambria" w:cs="Arial"/>
          <w:sz w:val="28"/>
          <w:szCs w:val="28"/>
          <w:rtl/>
          <w:lang w:bidi="ar-EG"/>
        </w:rPr>
      </w:pPr>
      <w:r>
        <w:rPr>
          <w:rFonts w:ascii="Cambria" w:eastAsia="Calibri" w:hAnsi="Cambria" w:cs="Arial" w:hint="cs"/>
          <w:sz w:val="28"/>
          <w:szCs w:val="28"/>
          <w:rtl/>
          <w:lang w:bidi="ar-EG"/>
        </w:rPr>
        <w:t>تم مراعاة الدقة والوضوح عند صياغة تعليمات المقياس حتى يسهل على الطلاب إتباعهاعند الإجابة على عباراته ؛ وتضمنت التعليمات وصف الهدف منه ، وعدد عباراته ، وطريقة الإجابة عنه ، كما تم تقديم عدد من التعليمات وهى:</w:t>
      </w:r>
    </w:p>
    <w:p>
      <w:pPr>
        <w:numPr>
          <w:ilvl w:val="0"/>
          <w:numId w:val="43"/>
        </w:numPr>
        <w:spacing w:after="0" w:line="240" w:lineRule="auto"/>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lastRenderedPageBreak/>
        <w:t>قراءة كل عبارة من عبارات المقياس بدقة ، ثم إختيار الإجابة المناسبة</w:t>
      </w:r>
    </w:p>
    <w:p>
      <w:pPr>
        <w:numPr>
          <w:ilvl w:val="0"/>
          <w:numId w:val="43"/>
        </w:numPr>
        <w:spacing w:after="0" w:line="240" w:lineRule="auto"/>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t>وضع علامة (</w:t>
      </w:r>
      <w:r>
        <w:rPr>
          <w:rFonts w:ascii="Cambria Math" w:eastAsia="Times New Roman" w:hAnsi="Cambria Math" w:cs="Cambria Math" w:hint="cs"/>
          <w:sz w:val="28"/>
          <w:szCs w:val="28"/>
          <w:rtl/>
          <w:lang w:bidi="ar-EG"/>
        </w:rPr>
        <w:t>√</w:t>
      </w:r>
      <w:r>
        <w:rPr>
          <w:rFonts w:ascii="Cambria" w:eastAsia="Times New Roman" w:hAnsi="Cambria" w:cs="Simplified Arabic" w:hint="cs"/>
          <w:sz w:val="28"/>
          <w:szCs w:val="28"/>
          <w:rtl/>
          <w:lang w:bidi="ar-EG"/>
        </w:rPr>
        <w:t>) فى الخانة التى تتفق مع رأيك.</w:t>
      </w:r>
    </w:p>
    <w:p>
      <w:pPr>
        <w:numPr>
          <w:ilvl w:val="0"/>
          <w:numId w:val="43"/>
        </w:numPr>
        <w:spacing w:after="0" w:line="240" w:lineRule="auto"/>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t>إعطاء إجابة واحدة فقط لكل عباره</w:t>
      </w:r>
    </w:p>
    <w:p>
      <w:pPr>
        <w:numPr>
          <w:ilvl w:val="0"/>
          <w:numId w:val="43"/>
        </w:numPr>
        <w:spacing w:after="0" w:line="240" w:lineRule="auto"/>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t>عدم ترك أى إجابة من إجابات المقياس دون الإجابة عليها</w:t>
      </w:r>
    </w:p>
    <w:p>
      <w:pPr>
        <w:numPr>
          <w:ilvl w:val="0"/>
          <w:numId w:val="43"/>
        </w:numPr>
        <w:spacing w:after="0" w:line="240" w:lineRule="auto"/>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t>عدم ترك أى عباره دون الإجابة عليها</w:t>
      </w:r>
    </w:p>
    <w:p>
      <w:pPr>
        <w:numPr>
          <w:ilvl w:val="0"/>
          <w:numId w:val="43"/>
        </w:numPr>
        <w:spacing w:after="0" w:line="240" w:lineRule="auto"/>
        <w:rPr>
          <w:rFonts w:ascii="Cambria" w:eastAsia="Times New Roman" w:hAnsi="Cambria" w:cs="Simplified Arabic"/>
          <w:sz w:val="28"/>
          <w:szCs w:val="28"/>
          <w:lang w:bidi="ar-EG"/>
        </w:rPr>
      </w:pPr>
      <w:r>
        <w:rPr>
          <w:rFonts w:ascii="Cambria" w:eastAsia="Times New Roman" w:hAnsi="Cambria" w:cs="Simplified Arabic" w:hint="cs"/>
          <w:sz w:val="28"/>
          <w:szCs w:val="28"/>
          <w:rtl/>
          <w:lang w:bidi="ar-EG"/>
        </w:rPr>
        <w:t xml:space="preserve">درجات المقياس لا تؤثر على درجات الطلاب الفصلية </w:t>
      </w:r>
    </w:p>
    <w:p>
      <w:pPr>
        <w:numPr>
          <w:ilvl w:val="0"/>
          <w:numId w:val="43"/>
        </w:numPr>
        <w:spacing w:after="0" w:line="240" w:lineRule="auto"/>
        <w:rPr>
          <w:rFonts w:ascii="Cambria" w:eastAsia="Times New Roman" w:hAnsi="Cambria" w:cs="Simplified Arabic"/>
          <w:sz w:val="28"/>
          <w:szCs w:val="28"/>
          <w:rtl/>
          <w:lang w:bidi="ar-EG"/>
        </w:rPr>
      </w:pPr>
      <w:r>
        <w:rPr>
          <w:rFonts w:ascii="Cambria" w:eastAsia="Times New Roman" w:hAnsi="Cambria" w:cs="Simplified Arabic" w:hint="cs"/>
          <w:sz w:val="28"/>
          <w:szCs w:val="28"/>
          <w:rtl/>
          <w:lang w:bidi="ar-EG"/>
        </w:rPr>
        <w:t>أنه لا توجد إجابة صحيحة وأخرى خطأ وإنما يعبر إختيار الطالب عن رأية.</w:t>
      </w:r>
    </w:p>
    <w:p>
      <w:pPr>
        <w:rPr>
          <w:rFonts w:ascii="Cambria" w:eastAsia="Calibri" w:hAnsi="Cambria" w:cs="Arial"/>
          <w:sz w:val="28"/>
          <w:szCs w:val="28"/>
          <w:rtl/>
          <w:lang w:bidi="ar-EG"/>
        </w:rPr>
      </w:pPr>
      <w:r>
        <w:rPr>
          <w:rFonts w:ascii="Cambria" w:eastAsia="Calibri" w:hAnsi="Cambria" w:cs="Arial" w:hint="cs"/>
          <w:sz w:val="28"/>
          <w:szCs w:val="28"/>
          <w:rtl/>
          <w:lang w:bidi="ar-EG"/>
        </w:rPr>
        <w:t>.</w:t>
      </w:r>
    </w:p>
    <w:p>
      <w:pPr>
        <w:rPr>
          <w:rFonts w:ascii="Cambria" w:eastAsia="Calibri" w:hAnsi="Cambria" w:cs="Arial"/>
          <w:b/>
          <w:bCs/>
          <w:sz w:val="28"/>
          <w:szCs w:val="28"/>
          <w:rtl/>
          <w:lang w:bidi="ar-EG"/>
        </w:rPr>
      </w:pPr>
      <w:r>
        <w:rPr>
          <w:rFonts w:ascii="Cambria" w:eastAsia="Calibri" w:hAnsi="Cambria" w:cs="Arial" w:hint="cs"/>
          <w:b/>
          <w:bCs/>
          <w:sz w:val="28"/>
          <w:szCs w:val="28"/>
          <w:rtl/>
          <w:lang w:bidi="ar-EG"/>
        </w:rPr>
        <w:t>ه-الصورة الأولية للمقياس:</w:t>
      </w:r>
    </w:p>
    <w:p>
      <w:pPr>
        <w:ind w:left="206"/>
        <w:rPr>
          <w:rFonts w:ascii="Cambria" w:eastAsia="Calibri" w:hAnsi="Cambria" w:cs="Arial"/>
          <w:sz w:val="28"/>
          <w:szCs w:val="28"/>
          <w:rtl/>
          <w:lang w:bidi="ar-EG"/>
        </w:rPr>
      </w:pPr>
      <w:r>
        <w:rPr>
          <w:rFonts w:ascii="Cambria" w:eastAsia="Calibri" w:hAnsi="Cambria" w:cs="Arial" w:hint="cs"/>
          <w:sz w:val="28"/>
          <w:szCs w:val="28"/>
          <w:rtl/>
          <w:lang w:bidi="ar-EG"/>
        </w:rPr>
        <w:t>تكون مقياس الإتجاه نحو المادة فى صورته الأوليه من (50) مفردة  وأمام كل عباره (5) إستجابات  ، تتطلب كل منها إبداء الرأى فيها، وهى (أوافق بشده-أوافق-غير متأكد-أرفض_أرفض بشده).</w:t>
      </w:r>
    </w:p>
    <w:p>
      <w:pPr>
        <w:rPr>
          <w:rFonts w:ascii="Cambria" w:eastAsia="Calibri" w:hAnsi="Cambria" w:cs="Arial"/>
          <w:b/>
          <w:bCs/>
          <w:sz w:val="28"/>
          <w:szCs w:val="28"/>
          <w:rtl/>
          <w:lang w:bidi="ar-EG"/>
        </w:rPr>
      </w:pPr>
      <w:r>
        <w:rPr>
          <w:rFonts w:ascii="Cambria" w:eastAsia="Calibri" w:hAnsi="Cambria" w:cs="Arial" w:hint="cs"/>
          <w:b/>
          <w:bCs/>
          <w:sz w:val="28"/>
          <w:szCs w:val="28"/>
          <w:rtl/>
          <w:lang w:bidi="ar-EG"/>
        </w:rPr>
        <w:t>و-ضبط المقياس:</w:t>
      </w:r>
    </w:p>
    <w:p>
      <w:pPr>
        <w:rPr>
          <w:rFonts w:ascii="Cambria" w:eastAsia="Calibri" w:hAnsi="Cambria" w:cs="Arial"/>
          <w:sz w:val="28"/>
          <w:szCs w:val="28"/>
          <w:rtl/>
          <w:lang w:bidi="ar-EG"/>
        </w:rPr>
      </w:pPr>
      <w:r>
        <w:rPr>
          <w:rFonts w:ascii="Cambria" w:eastAsia="Calibri" w:hAnsi="Cambria" w:cs="Arial" w:hint="cs"/>
          <w:sz w:val="28"/>
          <w:szCs w:val="28"/>
          <w:rtl/>
          <w:lang w:bidi="ar-EG"/>
        </w:rPr>
        <w:t>تم عرض المقياس على مجموعة من الساده المحكمين لأخذ آرائهم.</w:t>
      </w:r>
    </w:p>
    <w:p>
      <w:pPr>
        <w:rPr>
          <w:rFonts w:ascii="Cambria" w:eastAsia="Calibri" w:hAnsi="Cambria" w:cs="Arial"/>
          <w:b/>
          <w:bCs/>
          <w:sz w:val="28"/>
          <w:szCs w:val="28"/>
          <w:rtl/>
          <w:lang w:bidi="ar-EG"/>
        </w:rPr>
      </w:pPr>
      <w:r>
        <w:rPr>
          <w:rFonts w:ascii="Cambria" w:eastAsia="Calibri" w:hAnsi="Cambria" w:cs="Arial" w:hint="cs"/>
          <w:b/>
          <w:bCs/>
          <w:sz w:val="28"/>
          <w:szCs w:val="28"/>
          <w:rtl/>
          <w:lang w:bidi="ar-EG"/>
        </w:rPr>
        <w:t>الصورة النهائية للمقياس:</w:t>
      </w:r>
    </w:p>
    <w:p>
      <w:pPr>
        <w:rPr>
          <w:rFonts w:ascii="Cambria" w:eastAsia="Calibri" w:hAnsi="Cambria" w:cs="Arial"/>
          <w:sz w:val="28"/>
          <w:szCs w:val="28"/>
          <w:rtl/>
          <w:lang w:bidi="ar-EG"/>
        </w:rPr>
      </w:pPr>
      <w:r>
        <w:rPr>
          <w:rFonts w:ascii="Cambria" w:eastAsia="Calibri" w:hAnsi="Cambria" w:cs="Arial" w:hint="cs"/>
          <w:sz w:val="28"/>
          <w:szCs w:val="28"/>
          <w:rtl/>
          <w:lang w:bidi="ar-EG"/>
        </w:rPr>
        <w:t>وتتضمن الصورة النهائية للمقياس :</w:t>
      </w:r>
    </w:p>
    <w:p>
      <w:pPr>
        <w:pStyle w:val="ListParagraph"/>
        <w:numPr>
          <w:ilvl w:val="0"/>
          <w:numId w:val="42"/>
        </w:numPr>
        <w:rPr>
          <w:rFonts w:ascii="Cambria" w:eastAsia="Calibri" w:hAnsi="Cambria" w:cs="Arial"/>
          <w:sz w:val="28"/>
          <w:szCs w:val="28"/>
          <w:lang w:bidi="ar-EG"/>
        </w:rPr>
      </w:pPr>
      <w:r>
        <w:rPr>
          <w:rFonts w:ascii="Cambria" w:eastAsia="Calibri" w:hAnsi="Cambria" w:cs="Arial" w:hint="cs"/>
          <w:sz w:val="28"/>
          <w:szCs w:val="28"/>
          <w:rtl/>
          <w:lang w:bidi="ar-EG"/>
        </w:rPr>
        <w:t>تعليمات المقياس</w:t>
      </w:r>
    </w:p>
    <w:p>
      <w:pPr>
        <w:pStyle w:val="ListParagraph"/>
        <w:numPr>
          <w:ilvl w:val="0"/>
          <w:numId w:val="42"/>
        </w:numPr>
        <w:rPr>
          <w:rFonts w:ascii="Cambria" w:eastAsia="Calibri" w:hAnsi="Cambria" w:cs="Arial"/>
          <w:sz w:val="28"/>
          <w:szCs w:val="28"/>
          <w:lang w:bidi="ar-EG"/>
        </w:rPr>
      </w:pPr>
      <w:r>
        <w:rPr>
          <w:rFonts w:ascii="Cambria" w:eastAsia="Calibri" w:hAnsi="Cambria" w:cs="Arial" w:hint="cs"/>
          <w:sz w:val="28"/>
          <w:szCs w:val="28"/>
          <w:rtl/>
          <w:lang w:bidi="ar-EG"/>
        </w:rPr>
        <w:t>نظام تقدير الدرجات</w:t>
      </w:r>
    </w:p>
    <w:p>
      <w:pPr>
        <w:pStyle w:val="ListParagraph"/>
        <w:numPr>
          <w:ilvl w:val="0"/>
          <w:numId w:val="42"/>
        </w:numPr>
        <w:rPr>
          <w:rFonts w:ascii="Cambria" w:eastAsia="Calibri" w:hAnsi="Cambria" w:cs="Arial"/>
          <w:sz w:val="28"/>
          <w:szCs w:val="28"/>
          <w:rtl/>
          <w:lang w:bidi="ar-EG"/>
        </w:rPr>
      </w:pPr>
      <w:r>
        <w:rPr>
          <w:rFonts w:ascii="Cambria" w:eastAsia="Calibri" w:hAnsi="Cambria" w:cs="Arial" w:hint="cs"/>
          <w:sz w:val="28"/>
          <w:szCs w:val="28"/>
          <w:rtl/>
          <w:lang w:bidi="ar-EG"/>
        </w:rPr>
        <w:t>الصورة النهائية للمقياس</w:t>
      </w:r>
    </w:p>
    <w:p>
      <w:pPr>
        <w:spacing w:before="120" w:after="120"/>
        <w:ind w:left="50"/>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نتائج البحث:</w:t>
      </w:r>
    </w:p>
    <w:p>
      <w:pPr>
        <w:jc w:val="lowKashida"/>
        <w:rPr>
          <w:rFonts w:cs="Simplified Arabic"/>
          <w:sz w:val="28"/>
          <w:szCs w:val="28"/>
          <w:rtl/>
        </w:rPr>
      </w:pPr>
      <w:r>
        <w:rPr>
          <w:rFonts w:cs="Simplified Arabic" w:hint="cs"/>
          <w:sz w:val="28"/>
          <w:szCs w:val="28"/>
          <w:rtl/>
        </w:rPr>
        <w:t xml:space="preserve">          لاختبار صحة فرض البحث والذى ينص على أنه</w:t>
      </w:r>
      <w:r>
        <w:rPr>
          <w:rFonts w:cs="Simplified Arabic" w:hint="cs"/>
          <w:b/>
          <w:bCs/>
          <w:sz w:val="28"/>
          <w:szCs w:val="28"/>
          <w:rtl/>
        </w:rPr>
        <w:t xml:space="preserve"> "يوجد فرق ذو دلالة إحصائية عند مستوى دلالة (</w:t>
      </w:r>
      <w:r>
        <w:rPr>
          <w:b/>
          <w:bCs/>
          <w:sz w:val="28"/>
          <w:szCs w:val="28"/>
        </w:rPr>
        <w:t>α</w:t>
      </w:r>
      <w:r>
        <w:rPr>
          <w:rFonts w:cs="Simplified Arabic"/>
          <w:b/>
          <w:bCs/>
          <w:sz w:val="28"/>
          <w:szCs w:val="28"/>
        </w:rPr>
        <w:t xml:space="preserve"> </w:t>
      </w:r>
      <w:r>
        <w:rPr>
          <w:b/>
          <w:bCs/>
          <w:sz w:val="28"/>
          <w:szCs w:val="28"/>
        </w:rPr>
        <w:t>≤</w:t>
      </w:r>
      <w:r>
        <w:rPr>
          <w:rFonts w:cs="Simplified Arabic"/>
          <w:b/>
          <w:bCs/>
          <w:sz w:val="28"/>
          <w:szCs w:val="28"/>
        </w:rPr>
        <w:t xml:space="preserve"> 0.05</w:t>
      </w:r>
      <w:r>
        <w:rPr>
          <w:rFonts w:cs="Simplified Arabic" w:hint="cs"/>
          <w:b/>
          <w:bCs/>
          <w:sz w:val="28"/>
          <w:szCs w:val="28"/>
          <w:rtl/>
        </w:rPr>
        <w:t xml:space="preserve">) بين متوسطى درجات طلاب مجموعة البحث فى التطبيقين القبلى والبعدى لمقياس الاتجاه ككل وفى كل بعد على حده، لصالح درجات الطلاب في التطبيق البعدى" </w:t>
      </w:r>
      <w:r>
        <w:rPr>
          <w:rFonts w:cs="Simplified Arabic" w:hint="cs"/>
          <w:sz w:val="28"/>
          <w:szCs w:val="28"/>
          <w:rtl/>
        </w:rPr>
        <w:t xml:space="preserve">تم حساب قيمة " ت " لدلالة الفروق بين </w:t>
      </w:r>
      <w:r>
        <w:rPr>
          <w:rFonts w:cs="Simplified Arabic"/>
          <w:sz w:val="28"/>
          <w:szCs w:val="28"/>
          <w:rtl/>
        </w:rPr>
        <w:t xml:space="preserve">متوسطى درجات طلاب </w:t>
      </w:r>
      <w:r>
        <w:rPr>
          <w:rFonts w:cs="Simplified Arabic" w:hint="cs"/>
          <w:sz w:val="28"/>
          <w:szCs w:val="28"/>
          <w:rtl/>
        </w:rPr>
        <w:t>مجموعة البحث</w:t>
      </w:r>
      <w:r>
        <w:rPr>
          <w:rFonts w:cs="Simplified Arabic"/>
          <w:sz w:val="28"/>
          <w:szCs w:val="28"/>
          <w:rtl/>
        </w:rPr>
        <w:t xml:space="preserve"> فى التطبيقين القبلى والبعدى لمقياس الاتجاه ككل وفى كل بعد على حده</w:t>
      </w:r>
      <w:r>
        <w:rPr>
          <w:rFonts w:cs="Simplified Arabic" w:hint="cs"/>
          <w:sz w:val="28"/>
          <w:szCs w:val="28"/>
          <w:rtl/>
        </w:rPr>
        <w:t xml:space="preserve">، ولقياس حجم تأثير المعالجة التجريبية فى الاتجاه تم حساب </w:t>
      </w:r>
      <w:r>
        <w:rPr>
          <w:rFonts w:cs="Simplified Arabic"/>
          <w:noProof/>
          <w:sz w:val="28"/>
          <w:szCs w:val="28"/>
          <w:rtl/>
        </w:rPr>
        <w:t>حجم التأثير</w:t>
      </w:r>
      <w:r>
        <w:rPr>
          <w:rFonts w:cs="Simplified Arabic" w:hint="cs"/>
          <w:noProof/>
          <w:sz w:val="28"/>
          <w:szCs w:val="28"/>
          <w:rtl/>
        </w:rPr>
        <w:t xml:space="preserve"> (</w:t>
      </w:r>
      <w:r>
        <w:rPr>
          <w:rFonts w:cs="Simplified Arabic" w:hint="cs"/>
          <w:sz w:val="28"/>
          <w:szCs w:val="28"/>
          <w:vertAlign w:val="superscript"/>
          <w:rtl/>
        </w:rPr>
        <w:t>2</w:t>
      </w:r>
      <w:r>
        <w:rPr>
          <w:rFonts w:hint="cs"/>
          <w:sz w:val="28"/>
          <w:szCs w:val="28"/>
          <w:rtl/>
          <w:lang w:bidi="ar-EG"/>
        </w:rPr>
        <w:t>η)</w:t>
      </w:r>
      <w:r>
        <w:rPr>
          <w:rFonts w:cs="Simplified Arabic" w:hint="cs"/>
          <w:sz w:val="28"/>
          <w:szCs w:val="28"/>
          <w:rtl/>
        </w:rPr>
        <w:t>، كما تم حساب نسبة الكسب المعدل لبلاك لبيان فاعلية المعالجة التجريبية، والجدولين الآتيين يوضحان ذلك:</w:t>
      </w:r>
    </w:p>
    <w:p>
      <w:pPr>
        <w:ind w:left="360"/>
        <w:jc w:val="center"/>
        <w:rPr>
          <w:rFonts w:cs="Simplified Arabic"/>
          <w:b/>
          <w:bCs/>
          <w:sz w:val="28"/>
          <w:szCs w:val="28"/>
          <w:rtl/>
        </w:rPr>
      </w:pPr>
      <w:r>
        <w:rPr>
          <w:rFonts w:cs="Simplified Arabic" w:hint="cs"/>
          <w:b/>
          <w:bCs/>
          <w:sz w:val="28"/>
          <w:szCs w:val="28"/>
          <w:rtl/>
        </w:rPr>
        <w:lastRenderedPageBreak/>
        <w:t>جدول (1  )</w:t>
      </w:r>
    </w:p>
    <w:p>
      <w:pPr>
        <w:ind w:left="360"/>
        <w:jc w:val="center"/>
        <w:rPr>
          <w:rFonts w:cs="Simplified Arabic"/>
          <w:b/>
          <w:bCs/>
          <w:sz w:val="28"/>
          <w:szCs w:val="28"/>
          <w:rtl/>
        </w:rPr>
      </w:pPr>
      <w:r>
        <w:rPr>
          <w:rFonts w:cs="Simplified Arabic" w:hint="cs"/>
          <w:b/>
          <w:bCs/>
          <w:sz w:val="28"/>
          <w:szCs w:val="28"/>
          <w:rtl/>
        </w:rPr>
        <w:t xml:space="preserve"> "قيمة " ت " لدلالة الفروق بين </w:t>
      </w:r>
      <w:r>
        <w:rPr>
          <w:rFonts w:cs="Simplified Arabic"/>
          <w:b/>
          <w:bCs/>
          <w:sz w:val="28"/>
          <w:szCs w:val="28"/>
          <w:rtl/>
        </w:rPr>
        <w:t>متوسطى درجات طلاب المجموعة التجريبية فى التطبيقين القبلى والبعدى لمقياس الاتجاه ككل وفى كل بعد على حده</w:t>
      </w:r>
      <w:r>
        <w:rPr>
          <w:rFonts w:cs="Simplified Arabic" w:hint="cs"/>
          <w:b/>
          <w:bCs/>
          <w:sz w:val="28"/>
          <w:szCs w:val="28"/>
          <w:rtl/>
        </w:rPr>
        <w:t xml:space="preserve">"، وكذلك حجم التأثير </w:t>
      </w:r>
    </w:p>
    <w:p>
      <w:pPr>
        <w:ind w:left="360"/>
        <w:jc w:val="center"/>
        <w:rPr>
          <w:rFonts w:cs="Simplified Arabic"/>
          <w:b/>
          <w:bCs/>
          <w:sz w:val="28"/>
          <w:szCs w:val="28"/>
          <w:rtl/>
        </w:rPr>
      </w:pPr>
      <w:r>
        <w:rPr>
          <w:rFonts w:cs="Simplified Arabic"/>
          <w:b/>
          <w:bCs/>
          <w:sz w:val="28"/>
          <w:szCs w:val="28"/>
          <w:rtl/>
        </w:rPr>
        <w:t>(ن</w:t>
      </w:r>
      <w:r>
        <w:rPr>
          <w:rFonts w:cs="Simplified Arabic" w:hint="cs"/>
          <w:b/>
          <w:bCs/>
          <w:sz w:val="28"/>
          <w:szCs w:val="28"/>
          <w:rtl/>
        </w:rPr>
        <w:t xml:space="preserve"> </w:t>
      </w:r>
      <w:r>
        <w:rPr>
          <w:rFonts w:cs="Simplified Arabic"/>
          <w:b/>
          <w:bCs/>
          <w:sz w:val="28"/>
          <w:szCs w:val="28"/>
          <w:rtl/>
        </w:rPr>
        <w:t xml:space="preserve">= </w:t>
      </w:r>
      <w:r>
        <w:rPr>
          <w:rFonts w:cs="Simplified Arabic" w:hint="cs"/>
          <w:b/>
          <w:bCs/>
          <w:sz w:val="28"/>
          <w:szCs w:val="28"/>
          <w:rtl/>
        </w:rPr>
        <w:t>30</w:t>
      </w:r>
      <w:r>
        <w:rPr>
          <w:rFonts w:cs="Simplified Arabic"/>
          <w:b/>
          <w:bCs/>
          <w:sz w:val="28"/>
          <w:szCs w:val="28"/>
          <w:rtl/>
        </w:rPr>
        <w:t xml:space="preserve"> ) عند درجات حرية (</w:t>
      </w:r>
      <w:r>
        <w:rPr>
          <w:rFonts w:cs="Simplified Arabic" w:hint="cs"/>
          <w:b/>
          <w:bCs/>
          <w:sz w:val="28"/>
          <w:szCs w:val="28"/>
          <w:rtl/>
        </w:rPr>
        <w:t>29</w:t>
      </w:r>
      <w:r>
        <w:rPr>
          <w:rFonts w:cs="Simplified Arabic"/>
          <w:b/>
          <w:bCs/>
          <w:sz w:val="28"/>
          <w:szCs w:val="28"/>
          <w:rtl/>
        </w:rPr>
        <w:t>)</w:t>
      </w:r>
    </w:p>
    <w:tbl>
      <w:tblPr>
        <w:bidiVisual/>
        <w:tblW w:w="9286" w:type="dxa"/>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1612"/>
        <w:gridCol w:w="638"/>
        <w:gridCol w:w="863"/>
        <w:gridCol w:w="1125"/>
        <w:gridCol w:w="1042"/>
        <w:gridCol w:w="997"/>
        <w:gridCol w:w="1094"/>
        <w:gridCol w:w="993"/>
        <w:gridCol w:w="922"/>
      </w:tblGrid>
      <w:tr>
        <w:trPr>
          <w:jc w:val="center"/>
        </w:trPr>
        <w:tc>
          <w:tcPr>
            <w:tcW w:w="1612" w:type="dxa"/>
            <w:shd w:val="clear" w:color="auto" w:fill="D9D9D9"/>
            <w:vAlign w:val="center"/>
          </w:tcPr>
          <w:p>
            <w:pPr>
              <w:jc w:val="center"/>
              <w:rPr>
                <w:rFonts w:cs="Simplified Arabic"/>
                <w:b/>
                <w:bCs/>
                <w:sz w:val="28"/>
                <w:szCs w:val="28"/>
                <w:rtl/>
              </w:rPr>
            </w:pPr>
            <w:r>
              <w:rPr>
                <w:rFonts w:cs="Simplified Arabic" w:hint="cs"/>
                <w:b/>
                <w:bCs/>
                <w:sz w:val="28"/>
                <w:szCs w:val="28"/>
                <w:rtl/>
              </w:rPr>
              <w:t>الأبعاد</w:t>
            </w:r>
          </w:p>
        </w:tc>
        <w:tc>
          <w:tcPr>
            <w:tcW w:w="638" w:type="dxa"/>
            <w:shd w:val="clear" w:color="auto" w:fill="D9D9D9"/>
          </w:tcPr>
          <w:p>
            <w:pPr>
              <w:jc w:val="center"/>
              <w:rPr>
                <w:rFonts w:cs="Simplified Arabic"/>
                <w:b/>
                <w:bCs/>
                <w:sz w:val="28"/>
                <w:szCs w:val="28"/>
                <w:rtl/>
              </w:rPr>
            </w:pPr>
          </w:p>
        </w:tc>
        <w:tc>
          <w:tcPr>
            <w:tcW w:w="863" w:type="dxa"/>
            <w:shd w:val="clear" w:color="auto" w:fill="D9D9D9"/>
            <w:vAlign w:val="center"/>
          </w:tcPr>
          <w:p>
            <w:pPr>
              <w:jc w:val="center"/>
              <w:rPr>
                <w:rFonts w:cs="Simplified Arabic"/>
                <w:b/>
                <w:bCs/>
                <w:sz w:val="28"/>
                <w:szCs w:val="28"/>
                <w:rtl/>
              </w:rPr>
            </w:pPr>
            <w:r>
              <w:rPr>
                <w:rFonts w:cs="Simplified Arabic" w:hint="cs"/>
                <w:b/>
                <w:bCs/>
                <w:sz w:val="28"/>
                <w:szCs w:val="28"/>
                <w:rtl/>
              </w:rPr>
              <w:t>الدرجة العظمى</w:t>
            </w:r>
          </w:p>
        </w:tc>
        <w:tc>
          <w:tcPr>
            <w:tcW w:w="1125" w:type="dxa"/>
            <w:shd w:val="clear" w:color="auto" w:fill="D9D9D9"/>
            <w:vAlign w:val="center"/>
          </w:tcPr>
          <w:p>
            <w:pPr>
              <w:jc w:val="center"/>
              <w:rPr>
                <w:rFonts w:cs="Simplified Arabic"/>
                <w:b/>
                <w:bCs/>
                <w:sz w:val="28"/>
                <w:szCs w:val="28"/>
                <w:rtl/>
              </w:rPr>
            </w:pPr>
            <w:r>
              <w:rPr>
                <w:rFonts w:cs="Simplified Arabic" w:hint="cs"/>
                <w:b/>
                <w:bCs/>
                <w:rtl/>
              </w:rPr>
              <w:t>التطبيق</w:t>
            </w:r>
          </w:p>
        </w:tc>
        <w:tc>
          <w:tcPr>
            <w:tcW w:w="1042" w:type="dxa"/>
            <w:shd w:val="clear" w:color="auto" w:fill="D9D9D9"/>
            <w:vAlign w:val="center"/>
          </w:tcPr>
          <w:p>
            <w:pPr>
              <w:jc w:val="center"/>
              <w:rPr>
                <w:rFonts w:cs="Simplified Arabic"/>
                <w:b/>
                <w:bCs/>
                <w:sz w:val="28"/>
                <w:szCs w:val="28"/>
                <w:rtl/>
              </w:rPr>
            </w:pPr>
            <w:r>
              <w:rPr>
                <w:rFonts w:cs="Simplified Arabic"/>
                <w:b/>
                <w:bCs/>
                <w:rtl/>
              </w:rPr>
              <w:t>المتوسط الحسابى</w:t>
            </w:r>
          </w:p>
        </w:tc>
        <w:tc>
          <w:tcPr>
            <w:tcW w:w="997" w:type="dxa"/>
            <w:shd w:val="clear" w:color="auto" w:fill="D9D9D9"/>
            <w:vAlign w:val="center"/>
          </w:tcPr>
          <w:p>
            <w:pPr>
              <w:jc w:val="center"/>
              <w:rPr>
                <w:rFonts w:cs="Simplified Arabic"/>
                <w:b/>
                <w:bCs/>
                <w:sz w:val="28"/>
                <w:szCs w:val="28"/>
                <w:rtl/>
              </w:rPr>
            </w:pPr>
            <w:r>
              <w:rPr>
                <w:rFonts w:cs="Simplified Arabic"/>
                <w:b/>
                <w:bCs/>
                <w:rtl/>
              </w:rPr>
              <w:t>الانحراف المعيارى</w:t>
            </w:r>
          </w:p>
        </w:tc>
        <w:tc>
          <w:tcPr>
            <w:tcW w:w="1094" w:type="dxa"/>
            <w:shd w:val="clear" w:color="auto" w:fill="D9D9D9"/>
            <w:vAlign w:val="center"/>
          </w:tcPr>
          <w:p>
            <w:pPr>
              <w:jc w:val="center"/>
              <w:rPr>
                <w:rFonts w:cs="Simplified Arabic"/>
                <w:b/>
                <w:bCs/>
                <w:sz w:val="28"/>
                <w:szCs w:val="28"/>
                <w:rtl/>
              </w:rPr>
            </w:pPr>
            <w:r>
              <w:rPr>
                <w:rFonts w:cs="Simplified Arabic"/>
                <w:b/>
                <w:bCs/>
                <w:rtl/>
              </w:rPr>
              <w:t>قيمة "ت" المحسوبة</w:t>
            </w:r>
          </w:p>
        </w:tc>
        <w:tc>
          <w:tcPr>
            <w:tcW w:w="993" w:type="dxa"/>
            <w:shd w:val="clear" w:color="auto" w:fill="D9D9D9"/>
            <w:vAlign w:val="center"/>
          </w:tcPr>
          <w:p>
            <w:pPr>
              <w:jc w:val="center"/>
              <w:rPr>
                <w:rFonts w:cs="Simplified Arabic"/>
                <w:b/>
                <w:bCs/>
                <w:sz w:val="28"/>
                <w:szCs w:val="28"/>
                <w:rtl/>
              </w:rPr>
            </w:pPr>
            <w:r>
              <w:rPr>
                <w:rFonts w:cs="Simplified Arabic" w:hint="cs"/>
                <w:b/>
                <w:bCs/>
                <w:rtl/>
              </w:rPr>
              <w:t>مستوى الدلالة</w:t>
            </w:r>
          </w:p>
        </w:tc>
        <w:tc>
          <w:tcPr>
            <w:tcW w:w="922" w:type="dxa"/>
            <w:shd w:val="clear" w:color="auto" w:fill="D9D9D9"/>
            <w:vAlign w:val="center"/>
          </w:tcPr>
          <w:p>
            <w:pPr>
              <w:jc w:val="center"/>
              <w:rPr>
                <w:rFonts w:cs="Simplified Arabic"/>
                <w:b/>
                <w:bCs/>
                <w:sz w:val="26"/>
                <w:szCs w:val="26"/>
              </w:rPr>
            </w:pPr>
            <w:r>
              <w:rPr>
                <w:rFonts w:hint="cs"/>
                <w:b/>
                <w:bCs/>
                <w:rtl/>
                <w:lang w:bidi="ar-EG"/>
              </w:rPr>
              <w:t xml:space="preserve">حجم التأثير </w:t>
            </w:r>
            <w:r>
              <w:rPr>
                <w:b/>
                <w:bCs/>
                <w:vertAlign w:val="superscript"/>
                <w:lang w:bidi="ar-EG"/>
              </w:rPr>
              <w:t>2</w:t>
            </w:r>
            <w:r>
              <w:rPr>
                <w:b/>
                <w:bCs/>
                <w:rtl/>
                <w:lang w:bidi="ar-EG"/>
              </w:rPr>
              <w:t>Ƞ</w:t>
            </w:r>
          </w:p>
        </w:tc>
      </w:tr>
      <w:tr>
        <w:trPr>
          <w:jc w:val="center"/>
        </w:trPr>
        <w:tc>
          <w:tcPr>
            <w:tcW w:w="1612" w:type="dxa"/>
            <w:vMerge w:val="restart"/>
            <w:vAlign w:val="center"/>
          </w:tcPr>
          <w:p>
            <w:pPr>
              <w:jc w:val="center"/>
              <w:rPr>
                <w:rFonts w:cs="Simplified Arabic"/>
                <w:b/>
                <w:bCs/>
                <w:sz w:val="28"/>
                <w:szCs w:val="28"/>
                <w:rtl/>
              </w:rPr>
            </w:pPr>
            <w:r>
              <w:rPr>
                <w:rFonts w:cs="Simplified Arabic"/>
                <w:b/>
                <w:bCs/>
                <w:rtl/>
              </w:rPr>
              <w:t>طبيعة مادة الفلسفة وأهميتها</w:t>
            </w:r>
          </w:p>
        </w:tc>
        <w:tc>
          <w:tcPr>
            <w:tcW w:w="638" w:type="dxa"/>
            <w:vMerge w:val="restart"/>
            <w:vAlign w:val="center"/>
          </w:tcPr>
          <w:p>
            <w:pPr>
              <w:jc w:val="center"/>
              <w:rPr>
                <w:rFonts w:cs="Simplified Arabic"/>
                <w:sz w:val="28"/>
                <w:szCs w:val="28"/>
                <w:rtl/>
              </w:rPr>
            </w:pPr>
            <w:r>
              <w:rPr>
                <w:rFonts w:cs="Simplified Arabic" w:hint="cs"/>
                <w:sz w:val="28"/>
                <w:szCs w:val="28"/>
                <w:rtl/>
              </w:rPr>
              <w:t>18</w:t>
            </w:r>
          </w:p>
        </w:tc>
        <w:tc>
          <w:tcPr>
            <w:tcW w:w="863" w:type="dxa"/>
            <w:vMerge w:val="restart"/>
            <w:vAlign w:val="center"/>
          </w:tcPr>
          <w:p>
            <w:pPr>
              <w:jc w:val="center"/>
              <w:rPr>
                <w:rFonts w:cs="Simplified Arabic"/>
                <w:sz w:val="28"/>
                <w:szCs w:val="28"/>
                <w:rtl/>
              </w:rPr>
            </w:pPr>
            <w:r>
              <w:rPr>
                <w:rFonts w:cs="Simplified Arabic" w:hint="cs"/>
                <w:sz w:val="28"/>
                <w:szCs w:val="28"/>
                <w:rtl/>
              </w:rPr>
              <w:t>90</w:t>
            </w:r>
          </w:p>
        </w:tc>
        <w:tc>
          <w:tcPr>
            <w:tcW w:w="1125" w:type="dxa"/>
            <w:vAlign w:val="center"/>
          </w:tcPr>
          <w:p>
            <w:pPr>
              <w:jc w:val="center"/>
              <w:rPr>
                <w:rFonts w:cs="Simplified Arabic"/>
                <w:sz w:val="28"/>
                <w:szCs w:val="28"/>
                <w:rtl/>
              </w:rPr>
            </w:pPr>
            <w:r>
              <w:rPr>
                <w:rFonts w:cs="Simplified Arabic" w:hint="cs"/>
                <w:sz w:val="28"/>
                <w:szCs w:val="28"/>
                <w:rtl/>
              </w:rPr>
              <w:t>القبلى</w:t>
            </w:r>
          </w:p>
        </w:tc>
        <w:tc>
          <w:tcPr>
            <w:tcW w:w="1042" w:type="dxa"/>
            <w:vAlign w:val="center"/>
          </w:tcPr>
          <w:p>
            <w:pPr>
              <w:jc w:val="center"/>
              <w:rPr>
                <w:rFonts w:cs="Simplified Arabic"/>
                <w:sz w:val="28"/>
                <w:szCs w:val="28"/>
                <w:rtl/>
                <w:lang w:bidi="ar-EG"/>
              </w:rPr>
            </w:pPr>
            <w:r>
              <w:rPr>
                <w:rFonts w:cs="Simplified Arabic" w:hint="cs"/>
                <w:sz w:val="28"/>
                <w:szCs w:val="28"/>
                <w:rtl/>
                <w:lang w:bidi="ar-EG"/>
              </w:rPr>
              <w:t>43.63</w:t>
            </w:r>
          </w:p>
        </w:tc>
        <w:tc>
          <w:tcPr>
            <w:tcW w:w="997" w:type="dxa"/>
            <w:vAlign w:val="center"/>
          </w:tcPr>
          <w:p>
            <w:pPr>
              <w:jc w:val="center"/>
              <w:rPr>
                <w:rFonts w:cs="Simplified Arabic"/>
                <w:sz w:val="28"/>
                <w:szCs w:val="28"/>
                <w:rtl/>
              </w:rPr>
            </w:pPr>
            <w:r>
              <w:rPr>
                <w:rFonts w:cs="Simplified Arabic" w:hint="cs"/>
                <w:sz w:val="28"/>
                <w:szCs w:val="28"/>
                <w:rtl/>
              </w:rPr>
              <w:t>3.38</w:t>
            </w:r>
          </w:p>
        </w:tc>
        <w:tc>
          <w:tcPr>
            <w:tcW w:w="1094" w:type="dxa"/>
            <w:vMerge w:val="restart"/>
            <w:vAlign w:val="center"/>
          </w:tcPr>
          <w:p>
            <w:pPr>
              <w:jc w:val="center"/>
              <w:rPr>
                <w:rFonts w:cs="Simplified Arabic"/>
                <w:sz w:val="28"/>
                <w:szCs w:val="28"/>
                <w:rtl/>
                <w:lang w:bidi="ar-EG"/>
              </w:rPr>
            </w:pPr>
            <w:r>
              <w:rPr>
                <w:rFonts w:cs="Simplified Arabic" w:hint="cs"/>
                <w:sz w:val="28"/>
                <w:szCs w:val="28"/>
                <w:rtl/>
                <w:lang w:bidi="ar-EG"/>
              </w:rPr>
              <w:t>26.539</w:t>
            </w:r>
          </w:p>
        </w:tc>
        <w:tc>
          <w:tcPr>
            <w:tcW w:w="993" w:type="dxa"/>
            <w:vMerge w:val="restart"/>
            <w:vAlign w:val="center"/>
          </w:tcPr>
          <w:p>
            <w:pPr>
              <w:jc w:val="center"/>
              <w:rPr>
                <w:rFonts w:cs="Simplified Arabic"/>
                <w:sz w:val="28"/>
                <w:szCs w:val="28"/>
                <w:rtl/>
              </w:rPr>
            </w:pPr>
            <w:r>
              <w:rPr>
                <w:rFonts w:cs="Simplified Arabic" w:hint="cs"/>
                <w:sz w:val="28"/>
                <w:szCs w:val="28"/>
                <w:rtl/>
              </w:rPr>
              <w:t>0.01</w:t>
            </w:r>
          </w:p>
        </w:tc>
        <w:tc>
          <w:tcPr>
            <w:tcW w:w="922" w:type="dxa"/>
            <w:vMerge w:val="restart"/>
            <w:vAlign w:val="center"/>
          </w:tcPr>
          <w:p>
            <w:pPr>
              <w:jc w:val="center"/>
              <w:rPr>
                <w:rFonts w:cs="Simplified Arabic"/>
                <w:sz w:val="28"/>
                <w:szCs w:val="28"/>
                <w:rtl/>
              </w:rPr>
            </w:pPr>
            <w:r>
              <w:rPr>
                <w:rFonts w:cs="Simplified Arabic" w:hint="cs"/>
                <w:sz w:val="28"/>
                <w:szCs w:val="28"/>
                <w:rtl/>
              </w:rPr>
              <w:t>0.960</w:t>
            </w:r>
          </w:p>
        </w:tc>
      </w:tr>
      <w:tr>
        <w:trPr>
          <w:jc w:val="center"/>
        </w:trPr>
        <w:tc>
          <w:tcPr>
            <w:tcW w:w="1612" w:type="dxa"/>
            <w:vMerge/>
            <w:vAlign w:val="center"/>
          </w:tcPr>
          <w:p>
            <w:pPr>
              <w:jc w:val="center"/>
              <w:rPr>
                <w:rFonts w:cs="Simplified Arabic"/>
                <w:b/>
                <w:bCs/>
                <w:sz w:val="28"/>
                <w:szCs w:val="28"/>
                <w:rtl/>
              </w:rPr>
            </w:pPr>
          </w:p>
        </w:tc>
        <w:tc>
          <w:tcPr>
            <w:tcW w:w="638" w:type="dxa"/>
            <w:vMerge/>
            <w:vAlign w:val="center"/>
          </w:tcPr>
          <w:p>
            <w:pPr>
              <w:jc w:val="center"/>
              <w:rPr>
                <w:rFonts w:cs="Simplified Arabic"/>
                <w:sz w:val="28"/>
                <w:szCs w:val="28"/>
                <w:rtl/>
              </w:rPr>
            </w:pPr>
          </w:p>
        </w:tc>
        <w:tc>
          <w:tcPr>
            <w:tcW w:w="863" w:type="dxa"/>
            <w:vMerge/>
            <w:vAlign w:val="center"/>
          </w:tcPr>
          <w:p>
            <w:pPr>
              <w:jc w:val="center"/>
              <w:rPr>
                <w:rFonts w:cs="Simplified Arabic"/>
                <w:sz w:val="28"/>
                <w:szCs w:val="28"/>
                <w:rtl/>
              </w:rPr>
            </w:pPr>
          </w:p>
        </w:tc>
        <w:tc>
          <w:tcPr>
            <w:tcW w:w="1125" w:type="dxa"/>
            <w:vAlign w:val="center"/>
          </w:tcPr>
          <w:p>
            <w:pPr>
              <w:jc w:val="center"/>
              <w:rPr>
                <w:rFonts w:cs="Simplified Arabic"/>
                <w:sz w:val="28"/>
                <w:szCs w:val="28"/>
                <w:rtl/>
              </w:rPr>
            </w:pPr>
            <w:r>
              <w:rPr>
                <w:rFonts w:cs="Simplified Arabic" w:hint="cs"/>
                <w:sz w:val="28"/>
                <w:szCs w:val="28"/>
                <w:rtl/>
              </w:rPr>
              <w:t>البعدى</w:t>
            </w:r>
          </w:p>
        </w:tc>
        <w:tc>
          <w:tcPr>
            <w:tcW w:w="1042" w:type="dxa"/>
            <w:vAlign w:val="center"/>
          </w:tcPr>
          <w:p>
            <w:pPr>
              <w:jc w:val="center"/>
              <w:rPr>
                <w:rFonts w:cs="Simplified Arabic"/>
                <w:sz w:val="28"/>
                <w:szCs w:val="28"/>
                <w:rtl/>
                <w:lang w:bidi="ar-EG"/>
              </w:rPr>
            </w:pPr>
            <w:r>
              <w:rPr>
                <w:rFonts w:cs="Simplified Arabic" w:hint="cs"/>
                <w:sz w:val="28"/>
                <w:szCs w:val="28"/>
                <w:rtl/>
                <w:lang w:bidi="ar-EG"/>
              </w:rPr>
              <w:t>75.77</w:t>
            </w:r>
          </w:p>
        </w:tc>
        <w:tc>
          <w:tcPr>
            <w:tcW w:w="997" w:type="dxa"/>
            <w:vAlign w:val="center"/>
          </w:tcPr>
          <w:p>
            <w:pPr>
              <w:jc w:val="center"/>
              <w:rPr>
                <w:rFonts w:cs="Simplified Arabic"/>
                <w:sz w:val="28"/>
                <w:szCs w:val="28"/>
                <w:rtl/>
              </w:rPr>
            </w:pPr>
            <w:r>
              <w:rPr>
                <w:rFonts w:cs="Simplified Arabic" w:hint="cs"/>
                <w:sz w:val="28"/>
                <w:szCs w:val="28"/>
                <w:rtl/>
              </w:rPr>
              <w:t>5.58</w:t>
            </w:r>
          </w:p>
        </w:tc>
        <w:tc>
          <w:tcPr>
            <w:tcW w:w="1094" w:type="dxa"/>
            <w:vMerge/>
          </w:tcPr>
          <w:p>
            <w:pPr>
              <w:jc w:val="center"/>
              <w:rPr>
                <w:rFonts w:cs="Simplified Arabic"/>
                <w:sz w:val="28"/>
                <w:szCs w:val="28"/>
                <w:rtl/>
              </w:rPr>
            </w:pPr>
          </w:p>
        </w:tc>
        <w:tc>
          <w:tcPr>
            <w:tcW w:w="993" w:type="dxa"/>
            <w:vMerge/>
            <w:vAlign w:val="center"/>
          </w:tcPr>
          <w:p>
            <w:pPr>
              <w:jc w:val="center"/>
              <w:rPr>
                <w:rFonts w:cs="Simplified Arabic"/>
                <w:sz w:val="28"/>
                <w:szCs w:val="28"/>
                <w:rtl/>
              </w:rPr>
            </w:pPr>
          </w:p>
        </w:tc>
        <w:tc>
          <w:tcPr>
            <w:tcW w:w="922" w:type="dxa"/>
            <w:vMerge/>
          </w:tcPr>
          <w:p>
            <w:pPr>
              <w:jc w:val="center"/>
              <w:rPr>
                <w:rFonts w:cs="Simplified Arabic"/>
                <w:sz w:val="28"/>
                <w:szCs w:val="28"/>
                <w:rtl/>
              </w:rPr>
            </w:pPr>
          </w:p>
        </w:tc>
      </w:tr>
      <w:tr>
        <w:trPr>
          <w:jc w:val="center"/>
        </w:trPr>
        <w:tc>
          <w:tcPr>
            <w:tcW w:w="1612" w:type="dxa"/>
            <w:vMerge w:val="restart"/>
            <w:vAlign w:val="center"/>
          </w:tcPr>
          <w:p>
            <w:pPr>
              <w:jc w:val="center"/>
              <w:rPr>
                <w:rFonts w:cs="Simplified Arabic"/>
                <w:b/>
                <w:bCs/>
                <w:sz w:val="28"/>
                <w:szCs w:val="28"/>
                <w:rtl/>
              </w:rPr>
            </w:pPr>
            <w:r>
              <w:rPr>
                <w:rFonts w:cs="Simplified Arabic"/>
                <w:b/>
                <w:bCs/>
                <w:rtl/>
              </w:rPr>
              <w:t>معلم المواد الفلسفية</w:t>
            </w:r>
          </w:p>
        </w:tc>
        <w:tc>
          <w:tcPr>
            <w:tcW w:w="638" w:type="dxa"/>
            <w:vMerge w:val="restart"/>
            <w:vAlign w:val="center"/>
          </w:tcPr>
          <w:p>
            <w:pPr>
              <w:jc w:val="center"/>
              <w:rPr>
                <w:rFonts w:cs="Simplified Arabic"/>
                <w:sz w:val="28"/>
                <w:szCs w:val="28"/>
                <w:rtl/>
              </w:rPr>
            </w:pPr>
            <w:r>
              <w:rPr>
                <w:rFonts w:cs="Simplified Arabic" w:hint="cs"/>
                <w:sz w:val="28"/>
                <w:szCs w:val="28"/>
                <w:rtl/>
              </w:rPr>
              <w:t>16</w:t>
            </w:r>
          </w:p>
        </w:tc>
        <w:tc>
          <w:tcPr>
            <w:tcW w:w="863" w:type="dxa"/>
            <w:vMerge w:val="restart"/>
            <w:vAlign w:val="center"/>
          </w:tcPr>
          <w:p>
            <w:pPr>
              <w:jc w:val="center"/>
              <w:rPr>
                <w:rFonts w:cs="Simplified Arabic"/>
                <w:sz w:val="28"/>
                <w:szCs w:val="28"/>
                <w:rtl/>
              </w:rPr>
            </w:pPr>
            <w:r>
              <w:rPr>
                <w:rFonts w:cs="Simplified Arabic" w:hint="cs"/>
                <w:sz w:val="28"/>
                <w:szCs w:val="28"/>
                <w:rtl/>
              </w:rPr>
              <w:t>80</w:t>
            </w:r>
          </w:p>
        </w:tc>
        <w:tc>
          <w:tcPr>
            <w:tcW w:w="1125" w:type="dxa"/>
            <w:vAlign w:val="center"/>
          </w:tcPr>
          <w:p>
            <w:pPr>
              <w:jc w:val="center"/>
              <w:rPr>
                <w:rFonts w:cs="Simplified Arabic"/>
                <w:sz w:val="28"/>
                <w:szCs w:val="28"/>
                <w:rtl/>
              </w:rPr>
            </w:pPr>
            <w:r>
              <w:rPr>
                <w:rFonts w:cs="Simplified Arabic" w:hint="cs"/>
                <w:sz w:val="28"/>
                <w:szCs w:val="28"/>
                <w:rtl/>
              </w:rPr>
              <w:t>القبلى</w:t>
            </w:r>
          </w:p>
        </w:tc>
        <w:tc>
          <w:tcPr>
            <w:tcW w:w="1042" w:type="dxa"/>
          </w:tcPr>
          <w:p>
            <w:pPr>
              <w:jc w:val="center"/>
              <w:rPr>
                <w:rFonts w:cs="Simplified Arabic"/>
                <w:sz w:val="28"/>
                <w:szCs w:val="28"/>
                <w:rtl/>
              </w:rPr>
            </w:pPr>
            <w:r>
              <w:rPr>
                <w:rFonts w:cs="Simplified Arabic" w:hint="cs"/>
                <w:sz w:val="28"/>
                <w:szCs w:val="28"/>
                <w:rtl/>
              </w:rPr>
              <w:t>40.73</w:t>
            </w:r>
          </w:p>
        </w:tc>
        <w:tc>
          <w:tcPr>
            <w:tcW w:w="997" w:type="dxa"/>
          </w:tcPr>
          <w:p>
            <w:pPr>
              <w:jc w:val="center"/>
              <w:rPr>
                <w:rFonts w:cs="Simplified Arabic"/>
                <w:sz w:val="28"/>
                <w:szCs w:val="28"/>
                <w:rtl/>
              </w:rPr>
            </w:pPr>
            <w:r>
              <w:rPr>
                <w:rFonts w:cs="Simplified Arabic" w:hint="cs"/>
                <w:sz w:val="28"/>
                <w:szCs w:val="28"/>
                <w:rtl/>
              </w:rPr>
              <w:t>4.33</w:t>
            </w:r>
          </w:p>
        </w:tc>
        <w:tc>
          <w:tcPr>
            <w:tcW w:w="1094" w:type="dxa"/>
            <w:vMerge w:val="restart"/>
            <w:vAlign w:val="center"/>
          </w:tcPr>
          <w:p>
            <w:pPr>
              <w:jc w:val="center"/>
              <w:rPr>
                <w:rFonts w:cs="Simplified Arabic"/>
                <w:sz w:val="28"/>
                <w:szCs w:val="28"/>
                <w:rtl/>
              </w:rPr>
            </w:pPr>
            <w:r>
              <w:rPr>
                <w:rFonts w:cs="Simplified Arabic" w:hint="cs"/>
                <w:sz w:val="28"/>
                <w:szCs w:val="28"/>
                <w:rtl/>
              </w:rPr>
              <w:t>29.374</w:t>
            </w:r>
          </w:p>
        </w:tc>
        <w:tc>
          <w:tcPr>
            <w:tcW w:w="993" w:type="dxa"/>
            <w:vMerge w:val="restart"/>
            <w:vAlign w:val="center"/>
          </w:tcPr>
          <w:p>
            <w:pPr>
              <w:jc w:val="center"/>
              <w:rPr>
                <w:rFonts w:cs="Simplified Arabic"/>
                <w:sz w:val="28"/>
                <w:szCs w:val="28"/>
                <w:rtl/>
              </w:rPr>
            </w:pPr>
            <w:r>
              <w:rPr>
                <w:rFonts w:cs="Simplified Arabic" w:hint="cs"/>
                <w:sz w:val="28"/>
                <w:szCs w:val="28"/>
                <w:rtl/>
              </w:rPr>
              <w:t>0.01</w:t>
            </w:r>
          </w:p>
        </w:tc>
        <w:tc>
          <w:tcPr>
            <w:tcW w:w="922" w:type="dxa"/>
            <w:vMerge w:val="restart"/>
            <w:vAlign w:val="center"/>
          </w:tcPr>
          <w:p>
            <w:pPr>
              <w:jc w:val="center"/>
              <w:rPr>
                <w:rFonts w:cs="Simplified Arabic"/>
                <w:sz w:val="28"/>
                <w:szCs w:val="28"/>
                <w:rtl/>
              </w:rPr>
            </w:pPr>
            <w:r>
              <w:rPr>
                <w:rFonts w:cs="Simplified Arabic" w:hint="cs"/>
                <w:sz w:val="28"/>
                <w:szCs w:val="28"/>
                <w:rtl/>
              </w:rPr>
              <w:t>0.967</w:t>
            </w:r>
          </w:p>
        </w:tc>
      </w:tr>
      <w:tr>
        <w:trPr>
          <w:jc w:val="center"/>
        </w:trPr>
        <w:tc>
          <w:tcPr>
            <w:tcW w:w="1612" w:type="dxa"/>
            <w:vMerge/>
            <w:vAlign w:val="center"/>
          </w:tcPr>
          <w:p>
            <w:pPr>
              <w:jc w:val="center"/>
              <w:rPr>
                <w:rFonts w:cs="Simplified Arabic"/>
                <w:b/>
                <w:bCs/>
                <w:sz w:val="28"/>
                <w:szCs w:val="28"/>
                <w:rtl/>
              </w:rPr>
            </w:pPr>
          </w:p>
        </w:tc>
        <w:tc>
          <w:tcPr>
            <w:tcW w:w="638" w:type="dxa"/>
            <w:vMerge/>
            <w:vAlign w:val="center"/>
          </w:tcPr>
          <w:p>
            <w:pPr>
              <w:jc w:val="center"/>
              <w:rPr>
                <w:rFonts w:cs="Simplified Arabic"/>
                <w:sz w:val="28"/>
                <w:szCs w:val="28"/>
                <w:rtl/>
              </w:rPr>
            </w:pPr>
          </w:p>
        </w:tc>
        <w:tc>
          <w:tcPr>
            <w:tcW w:w="863" w:type="dxa"/>
            <w:vMerge/>
            <w:vAlign w:val="center"/>
          </w:tcPr>
          <w:p>
            <w:pPr>
              <w:jc w:val="center"/>
              <w:rPr>
                <w:rFonts w:cs="Simplified Arabic"/>
                <w:sz w:val="28"/>
                <w:szCs w:val="28"/>
                <w:rtl/>
              </w:rPr>
            </w:pPr>
          </w:p>
        </w:tc>
        <w:tc>
          <w:tcPr>
            <w:tcW w:w="1125" w:type="dxa"/>
            <w:vAlign w:val="center"/>
          </w:tcPr>
          <w:p>
            <w:pPr>
              <w:jc w:val="center"/>
              <w:rPr>
                <w:rFonts w:cs="Simplified Arabic"/>
                <w:sz w:val="28"/>
                <w:szCs w:val="28"/>
                <w:rtl/>
              </w:rPr>
            </w:pPr>
            <w:r>
              <w:rPr>
                <w:rFonts w:cs="Simplified Arabic" w:hint="cs"/>
                <w:sz w:val="28"/>
                <w:szCs w:val="28"/>
                <w:rtl/>
              </w:rPr>
              <w:t>البعدى</w:t>
            </w:r>
          </w:p>
        </w:tc>
        <w:tc>
          <w:tcPr>
            <w:tcW w:w="1042" w:type="dxa"/>
          </w:tcPr>
          <w:p>
            <w:pPr>
              <w:jc w:val="center"/>
              <w:rPr>
                <w:rFonts w:cs="Simplified Arabic"/>
                <w:sz w:val="28"/>
                <w:szCs w:val="28"/>
                <w:rtl/>
              </w:rPr>
            </w:pPr>
            <w:r>
              <w:rPr>
                <w:rFonts w:cs="Simplified Arabic" w:hint="cs"/>
                <w:sz w:val="28"/>
                <w:szCs w:val="28"/>
                <w:rtl/>
              </w:rPr>
              <w:t>69.80</w:t>
            </w:r>
          </w:p>
        </w:tc>
        <w:tc>
          <w:tcPr>
            <w:tcW w:w="997" w:type="dxa"/>
          </w:tcPr>
          <w:p>
            <w:pPr>
              <w:jc w:val="center"/>
              <w:rPr>
                <w:rFonts w:cs="Simplified Arabic"/>
                <w:sz w:val="28"/>
                <w:szCs w:val="28"/>
                <w:rtl/>
              </w:rPr>
            </w:pPr>
            <w:r>
              <w:rPr>
                <w:rFonts w:cs="Simplified Arabic" w:hint="cs"/>
                <w:sz w:val="28"/>
                <w:szCs w:val="28"/>
                <w:rtl/>
              </w:rPr>
              <w:t>3.26</w:t>
            </w:r>
          </w:p>
        </w:tc>
        <w:tc>
          <w:tcPr>
            <w:tcW w:w="1094" w:type="dxa"/>
            <w:vMerge/>
            <w:vAlign w:val="center"/>
          </w:tcPr>
          <w:p>
            <w:pPr>
              <w:jc w:val="center"/>
              <w:rPr>
                <w:rFonts w:cs="Simplified Arabic"/>
                <w:sz w:val="28"/>
                <w:szCs w:val="28"/>
                <w:rtl/>
              </w:rPr>
            </w:pPr>
          </w:p>
        </w:tc>
        <w:tc>
          <w:tcPr>
            <w:tcW w:w="993" w:type="dxa"/>
            <w:vMerge/>
            <w:vAlign w:val="center"/>
          </w:tcPr>
          <w:p>
            <w:pPr>
              <w:jc w:val="center"/>
              <w:rPr>
                <w:rFonts w:cs="Simplified Arabic"/>
                <w:sz w:val="28"/>
                <w:szCs w:val="28"/>
                <w:rtl/>
              </w:rPr>
            </w:pPr>
          </w:p>
        </w:tc>
        <w:tc>
          <w:tcPr>
            <w:tcW w:w="922" w:type="dxa"/>
            <w:vMerge/>
            <w:vAlign w:val="center"/>
          </w:tcPr>
          <w:p>
            <w:pPr>
              <w:jc w:val="center"/>
              <w:rPr>
                <w:rFonts w:cs="Simplified Arabic"/>
                <w:sz w:val="28"/>
                <w:szCs w:val="28"/>
                <w:rtl/>
              </w:rPr>
            </w:pPr>
          </w:p>
        </w:tc>
      </w:tr>
      <w:tr>
        <w:trPr>
          <w:jc w:val="center"/>
        </w:trPr>
        <w:tc>
          <w:tcPr>
            <w:tcW w:w="1612" w:type="dxa"/>
            <w:vMerge w:val="restart"/>
            <w:vAlign w:val="center"/>
          </w:tcPr>
          <w:p>
            <w:pPr>
              <w:jc w:val="center"/>
              <w:rPr>
                <w:rFonts w:cs="Simplified Arabic"/>
                <w:b/>
                <w:bCs/>
                <w:sz w:val="28"/>
                <w:szCs w:val="28"/>
                <w:rtl/>
              </w:rPr>
            </w:pPr>
            <w:r>
              <w:rPr>
                <w:rFonts w:cs="Simplified Arabic"/>
                <w:b/>
                <w:bCs/>
                <w:rtl/>
              </w:rPr>
              <w:t>طرق تدريس المواد الفلسفية</w:t>
            </w:r>
          </w:p>
        </w:tc>
        <w:tc>
          <w:tcPr>
            <w:tcW w:w="638" w:type="dxa"/>
            <w:vMerge w:val="restart"/>
            <w:vAlign w:val="center"/>
          </w:tcPr>
          <w:p>
            <w:pPr>
              <w:jc w:val="center"/>
              <w:rPr>
                <w:rFonts w:cs="Simplified Arabic"/>
                <w:sz w:val="28"/>
                <w:szCs w:val="28"/>
                <w:rtl/>
              </w:rPr>
            </w:pPr>
            <w:r>
              <w:rPr>
                <w:rFonts w:cs="Simplified Arabic" w:hint="cs"/>
                <w:sz w:val="28"/>
                <w:szCs w:val="28"/>
                <w:rtl/>
              </w:rPr>
              <w:t>16</w:t>
            </w:r>
          </w:p>
        </w:tc>
        <w:tc>
          <w:tcPr>
            <w:tcW w:w="863" w:type="dxa"/>
            <w:vMerge w:val="restart"/>
            <w:vAlign w:val="center"/>
          </w:tcPr>
          <w:p>
            <w:pPr>
              <w:jc w:val="center"/>
              <w:rPr>
                <w:rFonts w:cs="Simplified Arabic"/>
                <w:sz w:val="28"/>
                <w:szCs w:val="28"/>
                <w:rtl/>
              </w:rPr>
            </w:pPr>
            <w:r>
              <w:rPr>
                <w:rFonts w:cs="Simplified Arabic" w:hint="cs"/>
                <w:sz w:val="28"/>
                <w:szCs w:val="28"/>
                <w:rtl/>
              </w:rPr>
              <w:t>80</w:t>
            </w:r>
          </w:p>
        </w:tc>
        <w:tc>
          <w:tcPr>
            <w:tcW w:w="1125" w:type="dxa"/>
            <w:vAlign w:val="center"/>
          </w:tcPr>
          <w:p>
            <w:pPr>
              <w:jc w:val="center"/>
              <w:rPr>
                <w:rFonts w:cs="Simplified Arabic"/>
                <w:sz w:val="28"/>
                <w:szCs w:val="28"/>
                <w:rtl/>
              </w:rPr>
            </w:pPr>
            <w:r>
              <w:rPr>
                <w:rFonts w:cs="Simplified Arabic" w:hint="cs"/>
                <w:sz w:val="28"/>
                <w:szCs w:val="28"/>
                <w:rtl/>
              </w:rPr>
              <w:t>القبلى</w:t>
            </w:r>
          </w:p>
        </w:tc>
        <w:tc>
          <w:tcPr>
            <w:tcW w:w="1042" w:type="dxa"/>
          </w:tcPr>
          <w:p>
            <w:pPr>
              <w:jc w:val="center"/>
              <w:rPr>
                <w:rFonts w:cs="Simplified Arabic"/>
                <w:sz w:val="28"/>
                <w:szCs w:val="28"/>
                <w:rtl/>
              </w:rPr>
            </w:pPr>
            <w:r>
              <w:rPr>
                <w:rFonts w:cs="Simplified Arabic" w:hint="cs"/>
                <w:sz w:val="28"/>
                <w:szCs w:val="28"/>
                <w:rtl/>
              </w:rPr>
              <w:t>38.10</w:t>
            </w:r>
          </w:p>
        </w:tc>
        <w:tc>
          <w:tcPr>
            <w:tcW w:w="997" w:type="dxa"/>
          </w:tcPr>
          <w:p>
            <w:pPr>
              <w:jc w:val="center"/>
              <w:rPr>
                <w:rFonts w:cs="Simplified Arabic"/>
                <w:sz w:val="28"/>
                <w:szCs w:val="28"/>
                <w:rtl/>
              </w:rPr>
            </w:pPr>
            <w:r>
              <w:rPr>
                <w:rFonts w:cs="Simplified Arabic" w:hint="cs"/>
                <w:sz w:val="28"/>
                <w:szCs w:val="28"/>
                <w:rtl/>
              </w:rPr>
              <w:t>3.38</w:t>
            </w:r>
          </w:p>
        </w:tc>
        <w:tc>
          <w:tcPr>
            <w:tcW w:w="1094" w:type="dxa"/>
            <w:vMerge w:val="restart"/>
            <w:vAlign w:val="center"/>
          </w:tcPr>
          <w:p>
            <w:pPr>
              <w:jc w:val="center"/>
              <w:rPr>
                <w:rFonts w:cs="Simplified Arabic"/>
                <w:sz w:val="28"/>
                <w:szCs w:val="28"/>
                <w:rtl/>
              </w:rPr>
            </w:pPr>
            <w:r>
              <w:rPr>
                <w:rFonts w:cs="Simplified Arabic" w:hint="cs"/>
                <w:sz w:val="28"/>
                <w:szCs w:val="28"/>
                <w:rtl/>
              </w:rPr>
              <w:t>24.803</w:t>
            </w:r>
          </w:p>
        </w:tc>
        <w:tc>
          <w:tcPr>
            <w:tcW w:w="993" w:type="dxa"/>
            <w:vMerge w:val="restart"/>
            <w:vAlign w:val="center"/>
          </w:tcPr>
          <w:p>
            <w:pPr>
              <w:jc w:val="center"/>
              <w:rPr>
                <w:rFonts w:cs="Simplified Arabic"/>
                <w:sz w:val="28"/>
                <w:szCs w:val="28"/>
                <w:rtl/>
              </w:rPr>
            </w:pPr>
            <w:r>
              <w:rPr>
                <w:rFonts w:cs="Simplified Arabic" w:hint="cs"/>
                <w:sz w:val="28"/>
                <w:szCs w:val="28"/>
                <w:rtl/>
              </w:rPr>
              <w:t>0.01</w:t>
            </w:r>
          </w:p>
        </w:tc>
        <w:tc>
          <w:tcPr>
            <w:tcW w:w="922" w:type="dxa"/>
            <w:vMerge w:val="restart"/>
            <w:vAlign w:val="center"/>
          </w:tcPr>
          <w:p>
            <w:pPr>
              <w:jc w:val="center"/>
              <w:rPr>
                <w:rFonts w:cs="Simplified Arabic"/>
                <w:sz w:val="28"/>
                <w:szCs w:val="28"/>
                <w:rtl/>
              </w:rPr>
            </w:pPr>
            <w:r>
              <w:rPr>
                <w:rFonts w:cs="Simplified Arabic" w:hint="cs"/>
                <w:sz w:val="28"/>
                <w:szCs w:val="28"/>
                <w:rtl/>
              </w:rPr>
              <w:t>0.955</w:t>
            </w:r>
          </w:p>
        </w:tc>
      </w:tr>
      <w:tr>
        <w:trPr>
          <w:jc w:val="center"/>
        </w:trPr>
        <w:tc>
          <w:tcPr>
            <w:tcW w:w="1612" w:type="dxa"/>
            <w:vMerge/>
          </w:tcPr>
          <w:p>
            <w:pPr>
              <w:jc w:val="center"/>
              <w:rPr>
                <w:rFonts w:cs="Simplified Arabic"/>
                <w:b/>
                <w:bCs/>
                <w:sz w:val="28"/>
                <w:szCs w:val="28"/>
                <w:rtl/>
              </w:rPr>
            </w:pPr>
          </w:p>
        </w:tc>
        <w:tc>
          <w:tcPr>
            <w:tcW w:w="638" w:type="dxa"/>
            <w:vMerge/>
            <w:vAlign w:val="center"/>
          </w:tcPr>
          <w:p>
            <w:pPr>
              <w:jc w:val="center"/>
              <w:rPr>
                <w:rFonts w:cs="Simplified Arabic"/>
                <w:sz w:val="28"/>
                <w:szCs w:val="28"/>
                <w:rtl/>
              </w:rPr>
            </w:pPr>
          </w:p>
        </w:tc>
        <w:tc>
          <w:tcPr>
            <w:tcW w:w="863" w:type="dxa"/>
            <w:vMerge/>
            <w:vAlign w:val="center"/>
          </w:tcPr>
          <w:p>
            <w:pPr>
              <w:jc w:val="center"/>
              <w:rPr>
                <w:rFonts w:cs="Simplified Arabic"/>
                <w:sz w:val="28"/>
                <w:szCs w:val="28"/>
                <w:rtl/>
              </w:rPr>
            </w:pPr>
          </w:p>
        </w:tc>
        <w:tc>
          <w:tcPr>
            <w:tcW w:w="1125" w:type="dxa"/>
            <w:vAlign w:val="center"/>
          </w:tcPr>
          <w:p>
            <w:pPr>
              <w:jc w:val="center"/>
              <w:rPr>
                <w:rFonts w:cs="Simplified Arabic"/>
                <w:sz w:val="28"/>
                <w:szCs w:val="28"/>
                <w:rtl/>
              </w:rPr>
            </w:pPr>
            <w:r>
              <w:rPr>
                <w:rFonts w:cs="Simplified Arabic" w:hint="cs"/>
                <w:sz w:val="28"/>
                <w:szCs w:val="28"/>
                <w:rtl/>
              </w:rPr>
              <w:t>البعدى</w:t>
            </w:r>
          </w:p>
        </w:tc>
        <w:tc>
          <w:tcPr>
            <w:tcW w:w="1042" w:type="dxa"/>
          </w:tcPr>
          <w:p>
            <w:pPr>
              <w:jc w:val="center"/>
              <w:rPr>
                <w:rFonts w:cs="Simplified Arabic"/>
                <w:sz w:val="28"/>
                <w:szCs w:val="28"/>
                <w:rtl/>
                <w:lang w:bidi="ar-EG"/>
              </w:rPr>
            </w:pPr>
            <w:r>
              <w:rPr>
                <w:rFonts w:cs="Simplified Arabic" w:hint="cs"/>
                <w:sz w:val="28"/>
                <w:szCs w:val="28"/>
                <w:rtl/>
              </w:rPr>
              <w:t>67.77</w:t>
            </w:r>
          </w:p>
        </w:tc>
        <w:tc>
          <w:tcPr>
            <w:tcW w:w="997" w:type="dxa"/>
          </w:tcPr>
          <w:p>
            <w:pPr>
              <w:jc w:val="center"/>
              <w:rPr>
                <w:rFonts w:cs="Simplified Arabic"/>
                <w:sz w:val="28"/>
                <w:szCs w:val="28"/>
                <w:rtl/>
                <w:lang w:bidi="ar-EG"/>
              </w:rPr>
            </w:pPr>
            <w:r>
              <w:rPr>
                <w:rFonts w:cs="Simplified Arabic" w:hint="cs"/>
                <w:sz w:val="28"/>
                <w:szCs w:val="28"/>
                <w:rtl/>
              </w:rPr>
              <w:t>4.64</w:t>
            </w:r>
          </w:p>
        </w:tc>
        <w:tc>
          <w:tcPr>
            <w:tcW w:w="1094" w:type="dxa"/>
            <w:vMerge/>
          </w:tcPr>
          <w:p>
            <w:pPr>
              <w:jc w:val="center"/>
              <w:rPr>
                <w:rFonts w:cs="Simplified Arabic"/>
                <w:sz w:val="28"/>
                <w:szCs w:val="28"/>
                <w:rtl/>
              </w:rPr>
            </w:pPr>
          </w:p>
        </w:tc>
        <w:tc>
          <w:tcPr>
            <w:tcW w:w="993" w:type="dxa"/>
            <w:vMerge/>
            <w:vAlign w:val="center"/>
          </w:tcPr>
          <w:p>
            <w:pPr>
              <w:jc w:val="center"/>
              <w:rPr>
                <w:rFonts w:cs="Simplified Arabic"/>
                <w:sz w:val="28"/>
                <w:szCs w:val="28"/>
                <w:rtl/>
              </w:rPr>
            </w:pPr>
          </w:p>
        </w:tc>
        <w:tc>
          <w:tcPr>
            <w:tcW w:w="922" w:type="dxa"/>
            <w:vMerge/>
          </w:tcPr>
          <w:p>
            <w:pPr>
              <w:jc w:val="center"/>
              <w:rPr>
                <w:rFonts w:cs="Simplified Arabic"/>
                <w:sz w:val="28"/>
                <w:szCs w:val="28"/>
                <w:rtl/>
              </w:rPr>
            </w:pPr>
          </w:p>
        </w:tc>
      </w:tr>
      <w:tr>
        <w:trPr>
          <w:jc w:val="center"/>
        </w:trPr>
        <w:tc>
          <w:tcPr>
            <w:tcW w:w="1612" w:type="dxa"/>
            <w:vMerge w:val="restart"/>
            <w:vAlign w:val="center"/>
          </w:tcPr>
          <w:p>
            <w:pPr>
              <w:jc w:val="center"/>
              <w:rPr>
                <w:rFonts w:cs="Simplified Arabic"/>
                <w:b/>
                <w:bCs/>
                <w:sz w:val="28"/>
                <w:szCs w:val="28"/>
                <w:rtl/>
              </w:rPr>
            </w:pPr>
            <w:r>
              <w:rPr>
                <w:rFonts w:cs="Simplified Arabic" w:hint="cs"/>
                <w:b/>
                <w:bCs/>
                <w:rtl/>
              </w:rPr>
              <w:t>المقياس ككل</w:t>
            </w:r>
          </w:p>
        </w:tc>
        <w:tc>
          <w:tcPr>
            <w:tcW w:w="638" w:type="dxa"/>
            <w:vMerge w:val="restart"/>
            <w:vAlign w:val="center"/>
          </w:tcPr>
          <w:p>
            <w:pPr>
              <w:jc w:val="center"/>
              <w:rPr>
                <w:rFonts w:cs="Simplified Arabic"/>
                <w:sz w:val="28"/>
                <w:szCs w:val="28"/>
                <w:rtl/>
              </w:rPr>
            </w:pPr>
            <w:r>
              <w:rPr>
                <w:rFonts w:cs="Simplified Arabic" w:hint="cs"/>
                <w:sz w:val="28"/>
                <w:szCs w:val="28"/>
                <w:rtl/>
              </w:rPr>
              <w:t>50</w:t>
            </w:r>
          </w:p>
        </w:tc>
        <w:tc>
          <w:tcPr>
            <w:tcW w:w="863" w:type="dxa"/>
            <w:vMerge w:val="restart"/>
            <w:vAlign w:val="center"/>
          </w:tcPr>
          <w:p>
            <w:pPr>
              <w:jc w:val="center"/>
              <w:rPr>
                <w:rFonts w:cs="Simplified Arabic"/>
                <w:sz w:val="28"/>
                <w:szCs w:val="28"/>
                <w:rtl/>
              </w:rPr>
            </w:pPr>
            <w:r>
              <w:rPr>
                <w:rFonts w:cs="Simplified Arabic" w:hint="cs"/>
                <w:sz w:val="28"/>
                <w:szCs w:val="28"/>
                <w:rtl/>
              </w:rPr>
              <w:t>250</w:t>
            </w:r>
          </w:p>
        </w:tc>
        <w:tc>
          <w:tcPr>
            <w:tcW w:w="1125" w:type="dxa"/>
            <w:vAlign w:val="center"/>
          </w:tcPr>
          <w:p>
            <w:pPr>
              <w:jc w:val="center"/>
              <w:rPr>
                <w:rFonts w:cs="Simplified Arabic"/>
                <w:sz w:val="28"/>
                <w:szCs w:val="28"/>
                <w:rtl/>
              </w:rPr>
            </w:pPr>
            <w:r>
              <w:rPr>
                <w:rFonts w:cs="Simplified Arabic" w:hint="cs"/>
                <w:sz w:val="28"/>
                <w:szCs w:val="28"/>
                <w:rtl/>
              </w:rPr>
              <w:t>القبلى</w:t>
            </w:r>
          </w:p>
        </w:tc>
        <w:tc>
          <w:tcPr>
            <w:tcW w:w="1042" w:type="dxa"/>
          </w:tcPr>
          <w:p>
            <w:pPr>
              <w:jc w:val="center"/>
              <w:rPr>
                <w:rFonts w:cs="Simplified Arabic"/>
                <w:sz w:val="28"/>
                <w:szCs w:val="28"/>
                <w:rtl/>
                <w:lang w:bidi="ar-EG"/>
              </w:rPr>
            </w:pPr>
            <w:r>
              <w:rPr>
                <w:rFonts w:cs="Simplified Arabic" w:hint="cs"/>
                <w:sz w:val="28"/>
                <w:szCs w:val="28"/>
                <w:rtl/>
                <w:lang w:bidi="ar-EG"/>
              </w:rPr>
              <w:t>122.47</w:t>
            </w:r>
          </w:p>
        </w:tc>
        <w:tc>
          <w:tcPr>
            <w:tcW w:w="997" w:type="dxa"/>
          </w:tcPr>
          <w:p>
            <w:pPr>
              <w:jc w:val="center"/>
              <w:rPr>
                <w:rFonts w:cs="Simplified Arabic"/>
                <w:sz w:val="28"/>
                <w:szCs w:val="28"/>
                <w:rtl/>
                <w:lang w:bidi="ar-EG"/>
              </w:rPr>
            </w:pPr>
            <w:r>
              <w:rPr>
                <w:rFonts w:cs="Simplified Arabic" w:hint="cs"/>
                <w:sz w:val="28"/>
                <w:szCs w:val="28"/>
                <w:rtl/>
                <w:lang w:bidi="ar-EG"/>
              </w:rPr>
              <w:t>6.10</w:t>
            </w:r>
          </w:p>
        </w:tc>
        <w:tc>
          <w:tcPr>
            <w:tcW w:w="1094" w:type="dxa"/>
            <w:vMerge w:val="restart"/>
            <w:vAlign w:val="center"/>
          </w:tcPr>
          <w:p>
            <w:pPr>
              <w:jc w:val="center"/>
              <w:rPr>
                <w:rFonts w:cs="Simplified Arabic"/>
                <w:sz w:val="28"/>
                <w:szCs w:val="28"/>
                <w:rtl/>
              </w:rPr>
            </w:pPr>
            <w:r>
              <w:rPr>
                <w:rFonts w:cs="Simplified Arabic" w:hint="cs"/>
                <w:sz w:val="28"/>
                <w:szCs w:val="28"/>
                <w:rtl/>
              </w:rPr>
              <w:t>39.080</w:t>
            </w:r>
          </w:p>
        </w:tc>
        <w:tc>
          <w:tcPr>
            <w:tcW w:w="993" w:type="dxa"/>
            <w:vMerge w:val="restart"/>
            <w:vAlign w:val="center"/>
          </w:tcPr>
          <w:p>
            <w:pPr>
              <w:jc w:val="center"/>
              <w:rPr>
                <w:rFonts w:cs="Simplified Arabic"/>
                <w:sz w:val="28"/>
                <w:szCs w:val="28"/>
                <w:rtl/>
              </w:rPr>
            </w:pPr>
            <w:r>
              <w:rPr>
                <w:rFonts w:cs="Simplified Arabic" w:hint="cs"/>
                <w:sz w:val="28"/>
                <w:szCs w:val="28"/>
                <w:rtl/>
              </w:rPr>
              <w:t>0.01</w:t>
            </w:r>
          </w:p>
        </w:tc>
        <w:tc>
          <w:tcPr>
            <w:tcW w:w="922" w:type="dxa"/>
            <w:vMerge w:val="restart"/>
            <w:vAlign w:val="center"/>
          </w:tcPr>
          <w:p>
            <w:pPr>
              <w:jc w:val="center"/>
              <w:rPr>
                <w:rFonts w:cs="Simplified Arabic"/>
                <w:sz w:val="28"/>
                <w:szCs w:val="28"/>
                <w:rtl/>
              </w:rPr>
            </w:pPr>
            <w:r>
              <w:rPr>
                <w:rFonts w:cs="Simplified Arabic" w:hint="cs"/>
                <w:sz w:val="28"/>
                <w:szCs w:val="28"/>
                <w:rtl/>
              </w:rPr>
              <w:t>0.981</w:t>
            </w:r>
          </w:p>
        </w:tc>
      </w:tr>
      <w:tr>
        <w:trPr>
          <w:jc w:val="center"/>
        </w:trPr>
        <w:tc>
          <w:tcPr>
            <w:tcW w:w="1612" w:type="dxa"/>
            <w:vMerge/>
          </w:tcPr>
          <w:p>
            <w:pPr>
              <w:jc w:val="center"/>
              <w:rPr>
                <w:rFonts w:cs="Simplified Arabic"/>
                <w:sz w:val="28"/>
                <w:szCs w:val="28"/>
                <w:rtl/>
              </w:rPr>
            </w:pPr>
          </w:p>
        </w:tc>
        <w:tc>
          <w:tcPr>
            <w:tcW w:w="638" w:type="dxa"/>
            <w:vMerge/>
            <w:vAlign w:val="center"/>
          </w:tcPr>
          <w:p>
            <w:pPr>
              <w:jc w:val="center"/>
              <w:rPr>
                <w:rFonts w:cs="Simplified Arabic"/>
                <w:sz w:val="28"/>
                <w:szCs w:val="28"/>
                <w:rtl/>
              </w:rPr>
            </w:pPr>
          </w:p>
        </w:tc>
        <w:tc>
          <w:tcPr>
            <w:tcW w:w="863" w:type="dxa"/>
            <w:vMerge/>
            <w:vAlign w:val="center"/>
          </w:tcPr>
          <w:p>
            <w:pPr>
              <w:jc w:val="center"/>
              <w:rPr>
                <w:rFonts w:cs="Simplified Arabic"/>
                <w:sz w:val="28"/>
                <w:szCs w:val="28"/>
                <w:rtl/>
              </w:rPr>
            </w:pPr>
          </w:p>
        </w:tc>
        <w:tc>
          <w:tcPr>
            <w:tcW w:w="1125" w:type="dxa"/>
            <w:vAlign w:val="center"/>
          </w:tcPr>
          <w:p>
            <w:pPr>
              <w:jc w:val="center"/>
              <w:rPr>
                <w:rFonts w:cs="Simplified Arabic"/>
                <w:sz w:val="28"/>
                <w:szCs w:val="28"/>
                <w:rtl/>
              </w:rPr>
            </w:pPr>
            <w:r>
              <w:rPr>
                <w:rFonts w:cs="Simplified Arabic" w:hint="cs"/>
                <w:sz w:val="28"/>
                <w:szCs w:val="28"/>
                <w:rtl/>
              </w:rPr>
              <w:t>البعدى</w:t>
            </w:r>
          </w:p>
        </w:tc>
        <w:tc>
          <w:tcPr>
            <w:tcW w:w="1042" w:type="dxa"/>
          </w:tcPr>
          <w:p>
            <w:pPr>
              <w:jc w:val="center"/>
              <w:rPr>
                <w:rFonts w:cs="Simplified Arabic"/>
                <w:sz w:val="28"/>
                <w:szCs w:val="28"/>
                <w:rtl/>
                <w:lang w:bidi="ar-EG"/>
              </w:rPr>
            </w:pPr>
            <w:r>
              <w:rPr>
                <w:rFonts w:cs="Simplified Arabic" w:hint="cs"/>
                <w:sz w:val="28"/>
                <w:szCs w:val="28"/>
                <w:rtl/>
                <w:lang w:bidi="ar-EG"/>
              </w:rPr>
              <w:t>213.33</w:t>
            </w:r>
          </w:p>
        </w:tc>
        <w:tc>
          <w:tcPr>
            <w:tcW w:w="997" w:type="dxa"/>
          </w:tcPr>
          <w:p>
            <w:pPr>
              <w:jc w:val="center"/>
              <w:rPr>
                <w:rFonts w:cs="Simplified Arabic"/>
                <w:sz w:val="28"/>
                <w:szCs w:val="28"/>
                <w:rtl/>
                <w:lang w:bidi="ar-EG"/>
              </w:rPr>
            </w:pPr>
            <w:r>
              <w:rPr>
                <w:rFonts w:cs="Simplified Arabic" w:hint="cs"/>
                <w:sz w:val="28"/>
                <w:szCs w:val="28"/>
                <w:rtl/>
                <w:lang w:bidi="ar-EG"/>
              </w:rPr>
              <w:t>11.09</w:t>
            </w:r>
          </w:p>
        </w:tc>
        <w:tc>
          <w:tcPr>
            <w:tcW w:w="1094" w:type="dxa"/>
            <w:vMerge/>
          </w:tcPr>
          <w:p>
            <w:pPr>
              <w:jc w:val="center"/>
              <w:rPr>
                <w:rFonts w:cs="Simplified Arabic"/>
                <w:sz w:val="28"/>
                <w:szCs w:val="28"/>
                <w:rtl/>
              </w:rPr>
            </w:pPr>
          </w:p>
        </w:tc>
        <w:tc>
          <w:tcPr>
            <w:tcW w:w="993" w:type="dxa"/>
            <w:vMerge/>
          </w:tcPr>
          <w:p>
            <w:pPr>
              <w:jc w:val="center"/>
              <w:rPr>
                <w:rFonts w:cs="Simplified Arabic"/>
                <w:sz w:val="28"/>
                <w:szCs w:val="28"/>
                <w:rtl/>
              </w:rPr>
            </w:pPr>
          </w:p>
        </w:tc>
        <w:tc>
          <w:tcPr>
            <w:tcW w:w="922" w:type="dxa"/>
            <w:vMerge/>
          </w:tcPr>
          <w:p>
            <w:pPr>
              <w:jc w:val="center"/>
              <w:rPr>
                <w:rFonts w:cs="Simplified Arabic"/>
                <w:sz w:val="28"/>
                <w:szCs w:val="28"/>
                <w:rtl/>
              </w:rPr>
            </w:pPr>
          </w:p>
        </w:tc>
      </w:tr>
    </w:tbl>
    <w:p>
      <w:pPr>
        <w:ind w:left="360"/>
        <w:jc w:val="center"/>
        <w:rPr>
          <w:rFonts w:cs="Simplified Arabic"/>
          <w:b/>
          <w:bCs/>
          <w:sz w:val="28"/>
          <w:szCs w:val="28"/>
          <w:rtl/>
        </w:rPr>
      </w:pPr>
      <w:r>
        <w:rPr>
          <w:rFonts w:cs="Simplified Arabic" w:hint="cs"/>
          <w:b/>
          <w:bCs/>
          <w:sz w:val="28"/>
          <w:szCs w:val="28"/>
          <w:rtl/>
        </w:rPr>
        <w:t>جدول (2    )</w:t>
      </w:r>
    </w:p>
    <w:p>
      <w:pPr>
        <w:ind w:left="360"/>
        <w:jc w:val="center"/>
        <w:rPr>
          <w:rFonts w:cs="Simplified Arabic"/>
          <w:b/>
          <w:bCs/>
          <w:sz w:val="28"/>
          <w:szCs w:val="28"/>
        </w:rPr>
      </w:pPr>
      <w:r>
        <w:rPr>
          <w:rFonts w:cs="Simplified Arabic" w:hint="cs"/>
          <w:b/>
          <w:bCs/>
          <w:sz w:val="28"/>
          <w:szCs w:val="28"/>
          <w:rtl/>
        </w:rPr>
        <w:t xml:space="preserve">نسبة الكسب المعدلة لـ </w:t>
      </w:r>
      <w:r>
        <w:rPr>
          <w:rFonts w:cs="Simplified Arabic"/>
          <w:b/>
          <w:bCs/>
          <w:sz w:val="28"/>
          <w:szCs w:val="28"/>
        </w:rPr>
        <w:t xml:space="preserve">Blake </w:t>
      </w:r>
      <w:r>
        <w:rPr>
          <w:rFonts w:cs="Simplified Arabic" w:hint="cs"/>
          <w:b/>
          <w:bCs/>
          <w:sz w:val="28"/>
          <w:szCs w:val="28"/>
          <w:rtl/>
        </w:rPr>
        <w:t xml:space="preserve"> في مقياس الإتجاه ككل وفى كل بعد على حده لدى مجموعة البحث </w:t>
      </w:r>
    </w:p>
    <w:tbl>
      <w:tblPr>
        <w:bidiVisual/>
        <w:tblW w:w="4503" w:type="pct"/>
        <w:jc w:val="center"/>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Look w:val="01E0" w:firstRow="1" w:lastRow="1" w:firstColumn="1" w:lastColumn="1" w:noHBand="0" w:noVBand="0"/>
      </w:tblPr>
      <w:tblGrid>
        <w:gridCol w:w="2675"/>
        <w:gridCol w:w="1042"/>
        <w:gridCol w:w="1182"/>
        <w:gridCol w:w="909"/>
        <w:gridCol w:w="1024"/>
        <w:gridCol w:w="1189"/>
      </w:tblGrid>
      <w:tr>
        <w:trPr>
          <w:trHeight w:val="274"/>
          <w:tblHeader/>
          <w:jc w:val="center"/>
        </w:trPr>
        <w:tc>
          <w:tcPr>
            <w:tcW w:w="1669" w:type="pct"/>
            <w:tcBorders>
              <w:top w:val="thinThickSmallGap" w:sz="24" w:space="0" w:color="auto"/>
              <w:bottom w:val="single" w:sz="6" w:space="0" w:color="auto"/>
            </w:tcBorders>
            <w:shd w:val="clear" w:color="auto" w:fill="FFFFFF" w:themeFill="background1"/>
            <w:vAlign w:val="center"/>
          </w:tcPr>
          <w:p>
            <w:pPr>
              <w:autoSpaceDE w:val="0"/>
              <w:autoSpaceDN w:val="0"/>
              <w:adjustRightInd w:val="0"/>
              <w:ind w:left="28"/>
              <w:jc w:val="center"/>
              <w:rPr>
                <w:b/>
                <w:bCs/>
                <w:i/>
                <w:rtl/>
              </w:rPr>
            </w:pPr>
            <w:r>
              <w:rPr>
                <w:rFonts w:hint="cs"/>
                <w:b/>
                <w:bCs/>
                <w:i/>
                <w:rtl/>
              </w:rPr>
              <w:lastRenderedPageBreak/>
              <w:t>الأبعاد</w:t>
            </w:r>
          </w:p>
        </w:tc>
        <w:tc>
          <w:tcPr>
            <w:tcW w:w="644" w:type="pct"/>
            <w:tcBorders>
              <w:top w:val="thinThickSmallGap" w:sz="24" w:space="0" w:color="auto"/>
              <w:bottom w:val="single" w:sz="6" w:space="0" w:color="auto"/>
            </w:tcBorders>
            <w:shd w:val="clear" w:color="auto" w:fill="FFFFFF" w:themeFill="background1"/>
            <w:vAlign w:val="center"/>
          </w:tcPr>
          <w:p>
            <w:pPr>
              <w:autoSpaceDE w:val="0"/>
              <w:autoSpaceDN w:val="0"/>
              <w:adjustRightInd w:val="0"/>
              <w:ind w:left="28"/>
              <w:jc w:val="center"/>
              <w:rPr>
                <w:b/>
                <w:bCs/>
                <w:i/>
                <w:rtl/>
              </w:rPr>
            </w:pPr>
            <w:r>
              <w:rPr>
                <w:rFonts w:hint="cs"/>
                <w:b/>
                <w:bCs/>
                <w:i/>
                <w:rtl/>
              </w:rPr>
              <w:t>متوسط التطبيق القبلي</w:t>
            </w:r>
          </w:p>
        </w:tc>
        <w:tc>
          <w:tcPr>
            <w:tcW w:w="738" w:type="pct"/>
            <w:tcBorders>
              <w:top w:val="thinThickSmallGap" w:sz="24" w:space="0" w:color="auto"/>
              <w:bottom w:val="single" w:sz="6" w:space="0" w:color="auto"/>
            </w:tcBorders>
            <w:shd w:val="clear" w:color="auto" w:fill="FFFFFF" w:themeFill="background1"/>
            <w:vAlign w:val="center"/>
          </w:tcPr>
          <w:p>
            <w:pPr>
              <w:autoSpaceDE w:val="0"/>
              <w:autoSpaceDN w:val="0"/>
              <w:adjustRightInd w:val="0"/>
              <w:ind w:left="28"/>
              <w:jc w:val="center"/>
              <w:rPr>
                <w:b/>
                <w:bCs/>
                <w:i/>
                <w:rtl/>
              </w:rPr>
            </w:pPr>
            <w:r>
              <w:rPr>
                <w:rFonts w:hint="cs"/>
                <w:b/>
                <w:bCs/>
                <w:i/>
                <w:rtl/>
              </w:rPr>
              <w:t>متوسط التطبيق البعدي</w:t>
            </w:r>
          </w:p>
        </w:tc>
        <w:tc>
          <w:tcPr>
            <w:tcW w:w="568" w:type="pct"/>
            <w:tcBorders>
              <w:top w:val="thinThickSmallGap" w:sz="24" w:space="0" w:color="auto"/>
              <w:bottom w:val="single" w:sz="6" w:space="0" w:color="auto"/>
            </w:tcBorders>
            <w:shd w:val="clear" w:color="auto" w:fill="FFFFFF" w:themeFill="background1"/>
            <w:vAlign w:val="center"/>
          </w:tcPr>
          <w:p>
            <w:pPr>
              <w:autoSpaceDE w:val="0"/>
              <w:autoSpaceDN w:val="0"/>
              <w:adjustRightInd w:val="0"/>
              <w:ind w:left="28"/>
              <w:jc w:val="center"/>
              <w:rPr>
                <w:b/>
                <w:bCs/>
                <w:i/>
                <w:rtl/>
              </w:rPr>
            </w:pPr>
            <w:r>
              <w:rPr>
                <w:rFonts w:hint="cs"/>
                <w:b/>
                <w:bCs/>
                <w:i/>
                <w:rtl/>
              </w:rPr>
              <w:t>ال</w:t>
            </w:r>
            <w:r>
              <w:rPr>
                <w:b/>
                <w:bCs/>
                <w:i/>
                <w:rtl/>
              </w:rPr>
              <w:t xml:space="preserve">نهاية </w:t>
            </w:r>
            <w:r>
              <w:rPr>
                <w:rFonts w:hint="cs"/>
                <w:b/>
                <w:bCs/>
                <w:i/>
                <w:rtl/>
              </w:rPr>
              <w:t>ال</w:t>
            </w:r>
            <w:r>
              <w:rPr>
                <w:b/>
                <w:bCs/>
                <w:i/>
                <w:rtl/>
              </w:rPr>
              <w:t>عظمى</w:t>
            </w:r>
            <w:r>
              <w:rPr>
                <w:rFonts w:hint="cs"/>
                <w:b/>
                <w:bCs/>
                <w:i/>
                <w:rtl/>
              </w:rPr>
              <w:t xml:space="preserve"> للاختبار</w:t>
            </w:r>
          </w:p>
        </w:tc>
        <w:tc>
          <w:tcPr>
            <w:tcW w:w="639" w:type="pct"/>
            <w:tcBorders>
              <w:top w:val="thinThickSmallGap" w:sz="24" w:space="0" w:color="auto"/>
              <w:bottom w:val="single" w:sz="6" w:space="0" w:color="auto"/>
            </w:tcBorders>
            <w:shd w:val="clear" w:color="auto" w:fill="FFFFFF" w:themeFill="background1"/>
            <w:vAlign w:val="center"/>
          </w:tcPr>
          <w:p>
            <w:pPr>
              <w:autoSpaceDE w:val="0"/>
              <w:autoSpaceDN w:val="0"/>
              <w:adjustRightInd w:val="0"/>
              <w:ind w:left="28"/>
              <w:jc w:val="center"/>
              <w:rPr>
                <w:b/>
                <w:bCs/>
                <w:i/>
                <w:rtl/>
              </w:rPr>
            </w:pPr>
            <w:r>
              <w:rPr>
                <w:rFonts w:hint="cs"/>
                <w:b/>
                <w:bCs/>
                <w:i/>
                <w:rtl/>
              </w:rPr>
              <w:t>درجة الكسب</w:t>
            </w:r>
            <w:r>
              <w:rPr>
                <w:rFonts w:cs="Arabic Transparent"/>
                <w:b/>
                <w:bCs/>
                <w:sz w:val="26"/>
                <w:szCs w:val="26"/>
                <w:rtl/>
              </w:rPr>
              <w:footnoteReference w:customMarkFollows="1" w:id="2"/>
              <w:t>(*)</w:t>
            </w:r>
            <w:r>
              <w:rPr>
                <w:rFonts w:hint="cs"/>
                <w:b/>
                <w:bCs/>
                <w:i/>
                <w:vertAlign w:val="superscript"/>
                <w:rtl/>
              </w:rPr>
              <w:t xml:space="preserve"> </w:t>
            </w:r>
          </w:p>
        </w:tc>
        <w:tc>
          <w:tcPr>
            <w:tcW w:w="742" w:type="pct"/>
            <w:tcBorders>
              <w:top w:val="thinThickSmallGap" w:sz="24" w:space="0" w:color="auto"/>
              <w:bottom w:val="single" w:sz="6" w:space="0" w:color="auto"/>
            </w:tcBorders>
            <w:shd w:val="clear" w:color="auto" w:fill="FFFFFF" w:themeFill="background1"/>
            <w:vAlign w:val="center"/>
          </w:tcPr>
          <w:p>
            <w:pPr>
              <w:autoSpaceDE w:val="0"/>
              <w:autoSpaceDN w:val="0"/>
              <w:adjustRightInd w:val="0"/>
              <w:ind w:left="28"/>
              <w:jc w:val="center"/>
              <w:rPr>
                <w:b/>
                <w:bCs/>
                <w:i/>
                <w:rtl/>
              </w:rPr>
            </w:pPr>
            <w:r>
              <w:rPr>
                <w:rFonts w:hint="cs"/>
                <w:b/>
                <w:bCs/>
                <w:i/>
                <w:rtl/>
              </w:rPr>
              <w:t xml:space="preserve">نسبة الكسب المعدلة </w:t>
            </w:r>
            <w:r>
              <w:rPr>
                <w:b/>
                <w:bCs/>
                <w:i/>
                <w:rtl/>
              </w:rPr>
              <w:br/>
            </w:r>
            <w:r>
              <w:rPr>
                <w:rFonts w:hint="cs"/>
                <w:b/>
                <w:bCs/>
                <w:i/>
                <w:rtl/>
              </w:rPr>
              <w:t xml:space="preserve">لـ </w:t>
            </w:r>
            <w:r>
              <w:rPr>
                <w:iCs/>
                <w:lang w:bidi="ar-EG"/>
              </w:rPr>
              <w:t>Blake</w:t>
            </w:r>
          </w:p>
        </w:tc>
      </w:tr>
      <w:tr>
        <w:trPr>
          <w:trHeight w:val="50"/>
          <w:jc w:val="center"/>
        </w:trPr>
        <w:tc>
          <w:tcPr>
            <w:tcW w:w="1669" w:type="pct"/>
            <w:tcBorders>
              <w:top w:val="single" w:sz="6" w:space="0" w:color="auto"/>
              <w:bottom w:val="single" w:sz="6" w:space="0" w:color="auto"/>
            </w:tcBorders>
            <w:vAlign w:val="center"/>
          </w:tcPr>
          <w:p>
            <w:pPr>
              <w:jc w:val="center"/>
              <w:rPr>
                <w:sz w:val="28"/>
                <w:szCs w:val="28"/>
                <w:rtl/>
              </w:rPr>
            </w:pPr>
            <w:r>
              <w:rPr>
                <w:rFonts w:cs="Simplified Arabic"/>
                <w:b/>
                <w:bCs/>
                <w:rtl/>
              </w:rPr>
              <w:t>طبيعة مادة الفلسفة وأهميتها</w:t>
            </w:r>
          </w:p>
        </w:tc>
        <w:tc>
          <w:tcPr>
            <w:tcW w:w="644" w:type="pct"/>
            <w:tcBorders>
              <w:top w:val="single" w:sz="6" w:space="0" w:color="auto"/>
              <w:bottom w:val="single" w:sz="6" w:space="0" w:color="auto"/>
            </w:tcBorders>
            <w:vAlign w:val="center"/>
          </w:tcPr>
          <w:p>
            <w:pPr>
              <w:jc w:val="center"/>
              <w:rPr>
                <w:sz w:val="28"/>
                <w:szCs w:val="28"/>
              </w:rPr>
            </w:pPr>
            <w:r>
              <w:rPr>
                <w:rFonts w:cs="Simplified Arabic" w:hint="cs"/>
                <w:sz w:val="28"/>
                <w:szCs w:val="28"/>
                <w:rtl/>
                <w:lang w:bidi="ar-EG"/>
              </w:rPr>
              <w:t>43.63</w:t>
            </w:r>
          </w:p>
        </w:tc>
        <w:tc>
          <w:tcPr>
            <w:tcW w:w="738" w:type="pct"/>
            <w:tcBorders>
              <w:top w:val="single" w:sz="6" w:space="0" w:color="auto"/>
              <w:bottom w:val="single" w:sz="6" w:space="0" w:color="auto"/>
            </w:tcBorders>
            <w:vAlign w:val="center"/>
          </w:tcPr>
          <w:p>
            <w:pPr>
              <w:jc w:val="center"/>
              <w:rPr>
                <w:sz w:val="28"/>
                <w:szCs w:val="28"/>
              </w:rPr>
            </w:pPr>
            <w:r>
              <w:rPr>
                <w:rFonts w:cs="Simplified Arabic" w:hint="cs"/>
                <w:sz w:val="28"/>
                <w:szCs w:val="28"/>
                <w:rtl/>
                <w:lang w:bidi="ar-EG"/>
              </w:rPr>
              <w:t>75.77</w:t>
            </w:r>
          </w:p>
        </w:tc>
        <w:tc>
          <w:tcPr>
            <w:tcW w:w="568" w:type="pct"/>
            <w:tcBorders>
              <w:top w:val="single" w:sz="6" w:space="0" w:color="auto"/>
              <w:bottom w:val="single" w:sz="6" w:space="0" w:color="auto"/>
            </w:tcBorders>
            <w:vAlign w:val="center"/>
          </w:tcPr>
          <w:p>
            <w:pPr>
              <w:jc w:val="center"/>
              <w:rPr>
                <w:sz w:val="28"/>
                <w:szCs w:val="28"/>
              </w:rPr>
            </w:pPr>
            <w:r>
              <w:rPr>
                <w:rFonts w:hint="cs"/>
                <w:sz w:val="28"/>
                <w:szCs w:val="28"/>
                <w:rtl/>
              </w:rPr>
              <w:t>90</w:t>
            </w:r>
          </w:p>
        </w:tc>
        <w:tc>
          <w:tcPr>
            <w:tcW w:w="639" w:type="pct"/>
            <w:tcBorders>
              <w:top w:val="single" w:sz="6" w:space="0" w:color="auto"/>
              <w:bottom w:val="single" w:sz="6" w:space="0" w:color="auto"/>
            </w:tcBorders>
            <w:vAlign w:val="center"/>
          </w:tcPr>
          <w:p>
            <w:pPr>
              <w:jc w:val="center"/>
              <w:rPr>
                <w:sz w:val="28"/>
                <w:szCs w:val="28"/>
              </w:rPr>
            </w:pPr>
            <w:r>
              <w:rPr>
                <w:rFonts w:hint="cs"/>
                <w:sz w:val="28"/>
                <w:szCs w:val="28"/>
                <w:rtl/>
              </w:rPr>
              <w:t>32.14</w:t>
            </w:r>
          </w:p>
        </w:tc>
        <w:tc>
          <w:tcPr>
            <w:tcW w:w="742" w:type="pct"/>
            <w:tcBorders>
              <w:top w:val="single" w:sz="6" w:space="0" w:color="auto"/>
              <w:bottom w:val="single" w:sz="6" w:space="0" w:color="auto"/>
            </w:tcBorders>
            <w:vAlign w:val="center"/>
          </w:tcPr>
          <w:p>
            <w:pPr>
              <w:jc w:val="center"/>
              <w:rPr>
                <w:sz w:val="28"/>
                <w:szCs w:val="28"/>
              </w:rPr>
            </w:pPr>
            <w:r>
              <w:rPr>
                <w:rFonts w:hint="cs"/>
                <w:sz w:val="28"/>
                <w:szCs w:val="28"/>
                <w:rtl/>
              </w:rPr>
              <w:t>1.05</w:t>
            </w:r>
          </w:p>
        </w:tc>
      </w:tr>
      <w:tr>
        <w:trPr>
          <w:trHeight w:val="50"/>
          <w:jc w:val="center"/>
        </w:trPr>
        <w:tc>
          <w:tcPr>
            <w:tcW w:w="1669" w:type="pct"/>
            <w:tcBorders>
              <w:top w:val="single" w:sz="6" w:space="0" w:color="auto"/>
              <w:bottom w:val="single" w:sz="6" w:space="0" w:color="auto"/>
            </w:tcBorders>
            <w:vAlign w:val="center"/>
          </w:tcPr>
          <w:p>
            <w:pPr>
              <w:jc w:val="center"/>
              <w:rPr>
                <w:sz w:val="28"/>
                <w:szCs w:val="28"/>
                <w:rtl/>
              </w:rPr>
            </w:pPr>
            <w:r>
              <w:rPr>
                <w:rFonts w:cs="Simplified Arabic"/>
                <w:b/>
                <w:bCs/>
                <w:rtl/>
              </w:rPr>
              <w:t>معلم المواد الفلسفية</w:t>
            </w:r>
          </w:p>
        </w:tc>
        <w:tc>
          <w:tcPr>
            <w:tcW w:w="644" w:type="pct"/>
            <w:tcBorders>
              <w:top w:val="single" w:sz="6" w:space="0" w:color="auto"/>
              <w:bottom w:val="single" w:sz="6" w:space="0" w:color="auto"/>
            </w:tcBorders>
          </w:tcPr>
          <w:p>
            <w:pPr>
              <w:jc w:val="center"/>
              <w:rPr>
                <w:sz w:val="28"/>
                <w:szCs w:val="28"/>
                <w:rtl/>
              </w:rPr>
            </w:pPr>
            <w:r>
              <w:rPr>
                <w:rFonts w:cs="Simplified Arabic" w:hint="cs"/>
                <w:sz w:val="28"/>
                <w:szCs w:val="28"/>
                <w:rtl/>
              </w:rPr>
              <w:t>40.73</w:t>
            </w:r>
          </w:p>
        </w:tc>
        <w:tc>
          <w:tcPr>
            <w:tcW w:w="738" w:type="pct"/>
            <w:tcBorders>
              <w:top w:val="single" w:sz="6" w:space="0" w:color="auto"/>
              <w:bottom w:val="single" w:sz="6" w:space="0" w:color="auto"/>
            </w:tcBorders>
          </w:tcPr>
          <w:p>
            <w:pPr>
              <w:jc w:val="center"/>
              <w:rPr>
                <w:sz w:val="28"/>
                <w:szCs w:val="28"/>
                <w:rtl/>
              </w:rPr>
            </w:pPr>
            <w:r>
              <w:rPr>
                <w:rFonts w:cs="Simplified Arabic" w:hint="cs"/>
                <w:sz w:val="28"/>
                <w:szCs w:val="28"/>
                <w:rtl/>
              </w:rPr>
              <w:t>69.80</w:t>
            </w:r>
          </w:p>
        </w:tc>
        <w:tc>
          <w:tcPr>
            <w:tcW w:w="568" w:type="pct"/>
            <w:tcBorders>
              <w:top w:val="single" w:sz="6" w:space="0" w:color="auto"/>
              <w:bottom w:val="single" w:sz="6" w:space="0" w:color="auto"/>
            </w:tcBorders>
            <w:vAlign w:val="center"/>
          </w:tcPr>
          <w:p>
            <w:pPr>
              <w:jc w:val="center"/>
              <w:rPr>
                <w:sz w:val="28"/>
                <w:szCs w:val="28"/>
                <w:rtl/>
              </w:rPr>
            </w:pPr>
            <w:r>
              <w:rPr>
                <w:rFonts w:hint="cs"/>
                <w:sz w:val="28"/>
                <w:szCs w:val="28"/>
                <w:rtl/>
              </w:rPr>
              <w:t>80</w:t>
            </w:r>
          </w:p>
        </w:tc>
        <w:tc>
          <w:tcPr>
            <w:tcW w:w="639" w:type="pct"/>
            <w:tcBorders>
              <w:top w:val="single" w:sz="6" w:space="0" w:color="auto"/>
              <w:bottom w:val="single" w:sz="6" w:space="0" w:color="auto"/>
            </w:tcBorders>
            <w:vAlign w:val="center"/>
          </w:tcPr>
          <w:p>
            <w:pPr>
              <w:jc w:val="center"/>
              <w:rPr>
                <w:sz w:val="28"/>
                <w:szCs w:val="28"/>
                <w:rtl/>
              </w:rPr>
            </w:pPr>
            <w:r>
              <w:rPr>
                <w:rFonts w:hint="cs"/>
                <w:sz w:val="28"/>
                <w:szCs w:val="28"/>
                <w:rtl/>
              </w:rPr>
              <w:t>29.07</w:t>
            </w:r>
          </w:p>
        </w:tc>
        <w:tc>
          <w:tcPr>
            <w:tcW w:w="742" w:type="pct"/>
            <w:tcBorders>
              <w:top w:val="single" w:sz="6" w:space="0" w:color="auto"/>
              <w:bottom w:val="single" w:sz="6" w:space="0" w:color="auto"/>
            </w:tcBorders>
            <w:vAlign w:val="center"/>
          </w:tcPr>
          <w:p>
            <w:pPr>
              <w:jc w:val="center"/>
              <w:rPr>
                <w:sz w:val="28"/>
                <w:szCs w:val="28"/>
                <w:rtl/>
              </w:rPr>
            </w:pPr>
            <w:r>
              <w:rPr>
                <w:rFonts w:hint="cs"/>
                <w:sz w:val="28"/>
                <w:szCs w:val="28"/>
                <w:rtl/>
              </w:rPr>
              <w:t>1.10</w:t>
            </w:r>
          </w:p>
        </w:tc>
      </w:tr>
      <w:tr>
        <w:trPr>
          <w:trHeight w:val="50"/>
          <w:jc w:val="center"/>
        </w:trPr>
        <w:tc>
          <w:tcPr>
            <w:tcW w:w="1669" w:type="pct"/>
            <w:tcBorders>
              <w:top w:val="single" w:sz="6" w:space="0" w:color="auto"/>
              <w:bottom w:val="single" w:sz="6" w:space="0" w:color="auto"/>
            </w:tcBorders>
            <w:vAlign w:val="center"/>
          </w:tcPr>
          <w:p>
            <w:pPr>
              <w:jc w:val="center"/>
              <w:rPr>
                <w:sz w:val="28"/>
                <w:szCs w:val="28"/>
                <w:rtl/>
              </w:rPr>
            </w:pPr>
            <w:r>
              <w:rPr>
                <w:rFonts w:cs="Simplified Arabic"/>
                <w:b/>
                <w:bCs/>
                <w:rtl/>
              </w:rPr>
              <w:t>طرق تدريس المواد الفلسفية</w:t>
            </w:r>
          </w:p>
        </w:tc>
        <w:tc>
          <w:tcPr>
            <w:tcW w:w="644" w:type="pct"/>
            <w:tcBorders>
              <w:top w:val="single" w:sz="6" w:space="0" w:color="auto"/>
              <w:bottom w:val="single" w:sz="6" w:space="0" w:color="auto"/>
            </w:tcBorders>
          </w:tcPr>
          <w:p>
            <w:pPr>
              <w:jc w:val="center"/>
              <w:rPr>
                <w:sz w:val="28"/>
                <w:szCs w:val="28"/>
                <w:rtl/>
              </w:rPr>
            </w:pPr>
            <w:r>
              <w:rPr>
                <w:rFonts w:cs="Simplified Arabic" w:hint="cs"/>
                <w:sz w:val="28"/>
                <w:szCs w:val="28"/>
                <w:rtl/>
              </w:rPr>
              <w:t>38.10</w:t>
            </w:r>
          </w:p>
        </w:tc>
        <w:tc>
          <w:tcPr>
            <w:tcW w:w="738" w:type="pct"/>
            <w:tcBorders>
              <w:top w:val="single" w:sz="6" w:space="0" w:color="auto"/>
              <w:bottom w:val="single" w:sz="6" w:space="0" w:color="auto"/>
            </w:tcBorders>
          </w:tcPr>
          <w:p>
            <w:pPr>
              <w:jc w:val="center"/>
              <w:rPr>
                <w:sz w:val="28"/>
                <w:szCs w:val="28"/>
                <w:rtl/>
              </w:rPr>
            </w:pPr>
            <w:r>
              <w:rPr>
                <w:rFonts w:cs="Simplified Arabic" w:hint="cs"/>
                <w:sz w:val="28"/>
                <w:szCs w:val="28"/>
                <w:rtl/>
              </w:rPr>
              <w:t>67.77</w:t>
            </w:r>
          </w:p>
        </w:tc>
        <w:tc>
          <w:tcPr>
            <w:tcW w:w="568" w:type="pct"/>
            <w:tcBorders>
              <w:top w:val="single" w:sz="6" w:space="0" w:color="auto"/>
              <w:bottom w:val="single" w:sz="6" w:space="0" w:color="auto"/>
            </w:tcBorders>
            <w:vAlign w:val="center"/>
          </w:tcPr>
          <w:p>
            <w:pPr>
              <w:jc w:val="center"/>
              <w:rPr>
                <w:sz w:val="28"/>
                <w:szCs w:val="28"/>
                <w:rtl/>
              </w:rPr>
            </w:pPr>
            <w:r>
              <w:rPr>
                <w:rFonts w:hint="cs"/>
                <w:sz w:val="28"/>
                <w:szCs w:val="28"/>
                <w:rtl/>
              </w:rPr>
              <w:t>80</w:t>
            </w:r>
          </w:p>
        </w:tc>
        <w:tc>
          <w:tcPr>
            <w:tcW w:w="639" w:type="pct"/>
            <w:tcBorders>
              <w:top w:val="single" w:sz="6" w:space="0" w:color="auto"/>
              <w:bottom w:val="single" w:sz="6" w:space="0" w:color="auto"/>
            </w:tcBorders>
            <w:vAlign w:val="center"/>
          </w:tcPr>
          <w:p>
            <w:pPr>
              <w:jc w:val="center"/>
              <w:rPr>
                <w:sz w:val="28"/>
                <w:szCs w:val="28"/>
                <w:rtl/>
              </w:rPr>
            </w:pPr>
            <w:r>
              <w:rPr>
                <w:rFonts w:hint="cs"/>
                <w:sz w:val="28"/>
                <w:szCs w:val="28"/>
                <w:rtl/>
              </w:rPr>
              <w:t>29.67</w:t>
            </w:r>
          </w:p>
        </w:tc>
        <w:tc>
          <w:tcPr>
            <w:tcW w:w="742" w:type="pct"/>
            <w:tcBorders>
              <w:top w:val="single" w:sz="6" w:space="0" w:color="auto"/>
              <w:bottom w:val="single" w:sz="6" w:space="0" w:color="auto"/>
            </w:tcBorders>
            <w:vAlign w:val="center"/>
          </w:tcPr>
          <w:p>
            <w:pPr>
              <w:jc w:val="center"/>
              <w:rPr>
                <w:sz w:val="28"/>
                <w:szCs w:val="28"/>
                <w:rtl/>
              </w:rPr>
            </w:pPr>
            <w:r>
              <w:rPr>
                <w:rFonts w:hint="cs"/>
                <w:sz w:val="28"/>
                <w:szCs w:val="28"/>
                <w:rtl/>
              </w:rPr>
              <w:t>1.08</w:t>
            </w:r>
          </w:p>
        </w:tc>
      </w:tr>
      <w:tr>
        <w:trPr>
          <w:trHeight w:val="50"/>
          <w:jc w:val="center"/>
        </w:trPr>
        <w:tc>
          <w:tcPr>
            <w:tcW w:w="1669" w:type="pct"/>
            <w:tcBorders>
              <w:top w:val="single" w:sz="6" w:space="0" w:color="auto"/>
            </w:tcBorders>
            <w:vAlign w:val="center"/>
          </w:tcPr>
          <w:p>
            <w:pPr>
              <w:jc w:val="center"/>
              <w:rPr>
                <w:sz w:val="28"/>
                <w:szCs w:val="28"/>
                <w:rtl/>
              </w:rPr>
            </w:pPr>
            <w:r>
              <w:rPr>
                <w:rFonts w:cs="Simplified Arabic" w:hint="cs"/>
                <w:b/>
                <w:bCs/>
                <w:rtl/>
              </w:rPr>
              <w:t>المقياس ككل</w:t>
            </w:r>
          </w:p>
        </w:tc>
        <w:tc>
          <w:tcPr>
            <w:tcW w:w="644" w:type="pct"/>
            <w:tcBorders>
              <w:top w:val="single" w:sz="6" w:space="0" w:color="auto"/>
            </w:tcBorders>
          </w:tcPr>
          <w:p>
            <w:pPr>
              <w:jc w:val="center"/>
              <w:rPr>
                <w:sz w:val="28"/>
                <w:szCs w:val="28"/>
                <w:rtl/>
              </w:rPr>
            </w:pPr>
            <w:r>
              <w:rPr>
                <w:rFonts w:cs="Simplified Arabic" w:hint="cs"/>
                <w:sz w:val="28"/>
                <w:szCs w:val="28"/>
                <w:rtl/>
                <w:lang w:bidi="ar-EG"/>
              </w:rPr>
              <w:t>122.47</w:t>
            </w:r>
          </w:p>
        </w:tc>
        <w:tc>
          <w:tcPr>
            <w:tcW w:w="738" w:type="pct"/>
            <w:tcBorders>
              <w:top w:val="single" w:sz="6" w:space="0" w:color="auto"/>
            </w:tcBorders>
          </w:tcPr>
          <w:p>
            <w:pPr>
              <w:jc w:val="center"/>
              <w:rPr>
                <w:sz w:val="28"/>
                <w:szCs w:val="28"/>
                <w:rtl/>
              </w:rPr>
            </w:pPr>
            <w:r>
              <w:rPr>
                <w:rFonts w:cs="Simplified Arabic" w:hint="cs"/>
                <w:sz w:val="28"/>
                <w:szCs w:val="28"/>
                <w:rtl/>
                <w:lang w:bidi="ar-EG"/>
              </w:rPr>
              <w:t>213.33</w:t>
            </w:r>
          </w:p>
        </w:tc>
        <w:tc>
          <w:tcPr>
            <w:tcW w:w="568" w:type="pct"/>
            <w:tcBorders>
              <w:top w:val="single" w:sz="6" w:space="0" w:color="auto"/>
            </w:tcBorders>
            <w:vAlign w:val="center"/>
          </w:tcPr>
          <w:p>
            <w:pPr>
              <w:jc w:val="center"/>
              <w:rPr>
                <w:sz w:val="28"/>
                <w:szCs w:val="28"/>
                <w:rtl/>
              </w:rPr>
            </w:pPr>
            <w:r>
              <w:rPr>
                <w:rFonts w:hint="cs"/>
                <w:sz w:val="28"/>
                <w:szCs w:val="28"/>
                <w:rtl/>
              </w:rPr>
              <w:t>250</w:t>
            </w:r>
          </w:p>
        </w:tc>
        <w:tc>
          <w:tcPr>
            <w:tcW w:w="639" w:type="pct"/>
            <w:tcBorders>
              <w:top w:val="single" w:sz="6" w:space="0" w:color="auto"/>
            </w:tcBorders>
            <w:vAlign w:val="center"/>
          </w:tcPr>
          <w:p>
            <w:pPr>
              <w:jc w:val="center"/>
              <w:rPr>
                <w:sz w:val="28"/>
                <w:szCs w:val="28"/>
                <w:rtl/>
              </w:rPr>
            </w:pPr>
            <w:r>
              <w:rPr>
                <w:rFonts w:hint="cs"/>
                <w:sz w:val="28"/>
                <w:szCs w:val="28"/>
                <w:rtl/>
              </w:rPr>
              <w:t>90.86</w:t>
            </w:r>
          </w:p>
        </w:tc>
        <w:tc>
          <w:tcPr>
            <w:tcW w:w="742" w:type="pct"/>
            <w:tcBorders>
              <w:top w:val="single" w:sz="6" w:space="0" w:color="auto"/>
            </w:tcBorders>
            <w:vAlign w:val="center"/>
          </w:tcPr>
          <w:p>
            <w:pPr>
              <w:jc w:val="center"/>
              <w:rPr>
                <w:sz w:val="28"/>
                <w:szCs w:val="28"/>
                <w:rtl/>
              </w:rPr>
            </w:pPr>
            <w:r>
              <w:rPr>
                <w:rFonts w:hint="cs"/>
                <w:sz w:val="28"/>
                <w:szCs w:val="28"/>
                <w:rtl/>
              </w:rPr>
              <w:t>1.08</w:t>
            </w:r>
          </w:p>
        </w:tc>
      </w:tr>
    </w:tbl>
    <w:p>
      <w:pPr>
        <w:jc w:val="lowKashida"/>
        <w:rPr>
          <w:rFonts w:cs="Simplified Arabic"/>
          <w:b/>
          <w:bCs/>
          <w:sz w:val="28"/>
          <w:szCs w:val="28"/>
          <w:rtl/>
        </w:rPr>
      </w:pPr>
      <w:r>
        <w:rPr>
          <w:rFonts w:cs="Simplified Arabic" w:hint="cs"/>
          <w:b/>
          <w:bCs/>
          <w:sz w:val="28"/>
          <w:szCs w:val="28"/>
          <w:rtl/>
        </w:rPr>
        <w:t xml:space="preserve">والرسم البيانى الآتى يوضح الفروق بين </w:t>
      </w:r>
      <w:r>
        <w:rPr>
          <w:rFonts w:cs="Simplified Arabic"/>
          <w:b/>
          <w:bCs/>
          <w:sz w:val="28"/>
          <w:szCs w:val="28"/>
          <w:rtl/>
        </w:rPr>
        <w:t>متوسطى درجات طلاب المجموعة التجريبية فى التطبيقين القبلى والبعدى لمقياس الاتجاه ككل وفى كل بعد على حده</w:t>
      </w:r>
      <w:r>
        <w:rPr>
          <w:rFonts w:cs="Simplified Arabic" w:hint="cs"/>
          <w:b/>
          <w:bCs/>
          <w:sz w:val="28"/>
          <w:szCs w:val="28"/>
          <w:rtl/>
        </w:rPr>
        <w:t>:</w:t>
      </w:r>
    </w:p>
    <w:p>
      <w:pPr>
        <w:jc w:val="lowKashida"/>
        <w:rPr>
          <w:rFonts w:cs="Simplified Arabic"/>
          <w:b/>
          <w:bCs/>
          <w:sz w:val="28"/>
          <w:szCs w:val="28"/>
          <w:rtl/>
        </w:rPr>
      </w:pPr>
      <w:r>
        <w:rPr>
          <w:rFonts w:cs="Simplified Arabic"/>
          <w:b/>
          <w:bCs/>
          <w:noProof/>
          <w:sz w:val="28"/>
          <w:szCs w:val="28"/>
          <w:rtl/>
        </w:rPr>
        <w:drawing>
          <wp:inline distT="0" distB="0" distL="0" distR="0">
            <wp:extent cx="5486400" cy="3200400"/>
            <wp:effectExtent l="0" t="0" r="0" b="0"/>
            <wp:docPr id="1291784732" name="Chart 12917847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jc w:val="lowKashida"/>
        <w:rPr>
          <w:rFonts w:cs="Simplified Arabic"/>
          <w:b/>
          <w:bCs/>
          <w:sz w:val="28"/>
          <w:szCs w:val="28"/>
          <w:rtl/>
        </w:rPr>
      </w:pPr>
      <w:r>
        <w:rPr>
          <w:rFonts w:cs="Simplified Arabic" w:hint="cs"/>
          <w:b/>
          <w:bCs/>
          <w:sz w:val="28"/>
          <w:szCs w:val="28"/>
          <w:rtl/>
        </w:rPr>
        <w:t>يتضح من الجدول السابق:</w:t>
      </w:r>
      <w:r>
        <w:rPr>
          <w:rFonts w:cs="Simplified Arabic" w:hint="cs"/>
          <w:sz w:val="28"/>
          <w:szCs w:val="28"/>
          <w:rtl/>
        </w:rPr>
        <w:t xml:space="preserve">    </w:t>
      </w:r>
    </w:p>
    <w:p>
      <w:pPr>
        <w:jc w:val="lowKashida"/>
        <w:rPr>
          <w:rFonts w:cs="Simplified Arabic"/>
          <w:sz w:val="28"/>
          <w:szCs w:val="28"/>
        </w:rPr>
      </w:pPr>
      <w:r>
        <w:rPr>
          <w:rFonts w:cs="Simplified Arabic" w:hint="cs"/>
          <w:sz w:val="28"/>
          <w:szCs w:val="28"/>
          <w:rtl/>
        </w:rPr>
        <w:t>- وجود فرق ذو دلالة إحصائية عند مستوى دلالة (</w:t>
      </w:r>
      <w:r>
        <w:rPr>
          <w:rFonts w:cs="Simplified Arabic"/>
          <w:sz w:val="28"/>
          <w:szCs w:val="28"/>
        </w:rPr>
        <w:t>α ≤ 0.01</w:t>
      </w:r>
      <w:r>
        <w:rPr>
          <w:rFonts w:cs="Simplified Arabic" w:hint="cs"/>
          <w:sz w:val="28"/>
          <w:szCs w:val="28"/>
          <w:rtl/>
        </w:rPr>
        <w:t xml:space="preserve">) بين </w:t>
      </w:r>
      <w:r>
        <w:rPr>
          <w:rFonts w:cs="Simplified Arabic"/>
          <w:sz w:val="28"/>
          <w:szCs w:val="28"/>
          <w:rtl/>
        </w:rPr>
        <w:t xml:space="preserve">متوسطى درجات طلاب </w:t>
      </w:r>
      <w:r>
        <w:rPr>
          <w:rFonts w:cs="Simplified Arabic" w:hint="cs"/>
          <w:sz w:val="28"/>
          <w:szCs w:val="28"/>
          <w:rtl/>
        </w:rPr>
        <w:t>مجموعة البحث</w:t>
      </w:r>
      <w:r>
        <w:rPr>
          <w:rFonts w:cs="Simplified Arabic"/>
          <w:sz w:val="28"/>
          <w:szCs w:val="28"/>
          <w:rtl/>
        </w:rPr>
        <w:t xml:space="preserve"> فى التطبيقين القبلى والبعدى لمقياس الاتجاه ككل وفى كل بعد على حده، لصالح درجات الطلاب في التطبيق البعدى</w:t>
      </w:r>
      <w:r>
        <w:rPr>
          <w:rFonts w:cs="Simplified Arabic" w:hint="cs"/>
          <w:sz w:val="28"/>
          <w:szCs w:val="28"/>
          <w:rtl/>
        </w:rPr>
        <w:t>، وهذا يشير إلى قبول الفرض السادس من فروض البحث.</w:t>
      </w:r>
    </w:p>
    <w:p>
      <w:pPr>
        <w:numPr>
          <w:ilvl w:val="0"/>
          <w:numId w:val="27"/>
        </w:numPr>
        <w:tabs>
          <w:tab w:val="clear" w:pos="1440"/>
          <w:tab w:val="num" w:pos="281"/>
        </w:tabs>
        <w:spacing w:after="0" w:line="240" w:lineRule="auto"/>
        <w:ind w:left="281" w:hanging="283"/>
        <w:jc w:val="lowKashida"/>
        <w:rPr>
          <w:rFonts w:cs="Simplified Arabic"/>
          <w:sz w:val="28"/>
          <w:szCs w:val="28"/>
        </w:rPr>
      </w:pPr>
      <w:r>
        <w:rPr>
          <w:rFonts w:cs="Simplified Arabic" w:hint="cs"/>
          <w:sz w:val="28"/>
          <w:szCs w:val="28"/>
          <w:rtl/>
        </w:rPr>
        <w:lastRenderedPageBreak/>
        <w:t>حجم تأثير المعالجة التجريبية 2</w:t>
      </w:r>
      <w:r>
        <w:rPr>
          <w:rFonts w:ascii="Cambria" w:hAnsi="Cambria" w:cs="Cambria" w:hint="cs"/>
          <w:sz w:val="28"/>
          <w:szCs w:val="28"/>
          <w:rtl/>
        </w:rPr>
        <w:t>η</w:t>
      </w:r>
      <w:r>
        <w:rPr>
          <w:rFonts w:cs="Simplified Arabic" w:hint="cs"/>
          <w:sz w:val="28"/>
          <w:szCs w:val="28"/>
          <w:rtl/>
        </w:rPr>
        <w:t xml:space="preserve"> على الاتجاه</w:t>
      </w:r>
      <w:r>
        <w:rPr>
          <w:rFonts w:cs="Simplified Arabic"/>
          <w:sz w:val="28"/>
          <w:szCs w:val="28"/>
          <w:rtl/>
        </w:rPr>
        <w:t xml:space="preserve"> ككل وفى كل </w:t>
      </w:r>
      <w:r>
        <w:rPr>
          <w:rFonts w:cs="Simplified Arabic" w:hint="cs"/>
          <w:sz w:val="28"/>
          <w:szCs w:val="28"/>
          <w:rtl/>
        </w:rPr>
        <w:t>بعد</w:t>
      </w:r>
      <w:r>
        <w:rPr>
          <w:rFonts w:cs="Simplified Arabic"/>
          <w:sz w:val="28"/>
          <w:szCs w:val="28"/>
          <w:rtl/>
        </w:rPr>
        <w:t xml:space="preserve"> على حدة</w:t>
      </w:r>
      <w:r>
        <w:rPr>
          <w:rFonts w:cs="Simplified Arabic" w:hint="cs"/>
          <w:sz w:val="28"/>
          <w:szCs w:val="28"/>
          <w:rtl/>
        </w:rPr>
        <w:t xml:space="preserve"> تراوحت بين (0.955 </w:t>
      </w:r>
      <w:r>
        <w:rPr>
          <w:rFonts w:cs="Simplified Arabic"/>
          <w:sz w:val="28"/>
          <w:szCs w:val="28"/>
          <w:rtl/>
        </w:rPr>
        <w:t>–</w:t>
      </w:r>
      <w:r>
        <w:rPr>
          <w:rFonts w:cs="Simplified Arabic" w:hint="cs"/>
          <w:sz w:val="28"/>
          <w:szCs w:val="28"/>
          <w:rtl/>
        </w:rPr>
        <w:t xml:space="preserve"> 0.981)، وهي قيم كبيرة ومناسبة، وتدل على أن نسبة التباين بين تأثير المعالجة التجريبية على الاتجاه</w:t>
      </w:r>
      <w:r>
        <w:rPr>
          <w:rFonts w:cs="Simplified Arabic"/>
          <w:sz w:val="28"/>
          <w:szCs w:val="28"/>
          <w:rtl/>
        </w:rPr>
        <w:t xml:space="preserve"> ككل وفى كل </w:t>
      </w:r>
      <w:r>
        <w:rPr>
          <w:rFonts w:cs="Simplified Arabic" w:hint="cs"/>
          <w:sz w:val="28"/>
          <w:szCs w:val="28"/>
          <w:rtl/>
        </w:rPr>
        <w:t>بعد</w:t>
      </w:r>
      <w:r>
        <w:rPr>
          <w:rFonts w:cs="Simplified Arabic"/>
          <w:sz w:val="28"/>
          <w:szCs w:val="28"/>
          <w:rtl/>
        </w:rPr>
        <w:t xml:space="preserve"> على حدة </w:t>
      </w:r>
      <w:r>
        <w:rPr>
          <w:rFonts w:cs="Simplified Arabic" w:hint="cs"/>
          <w:sz w:val="28"/>
          <w:szCs w:val="28"/>
          <w:rtl/>
        </w:rPr>
        <w:t>يتراوح بين (95.5 % - 98.1%).</w:t>
      </w:r>
    </w:p>
    <w:p>
      <w:pPr>
        <w:numPr>
          <w:ilvl w:val="0"/>
          <w:numId w:val="27"/>
        </w:numPr>
        <w:tabs>
          <w:tab w:val="clear" w:pos="1440"/>
          <w:tab w:val="num" w:pos="281"/>
        </w:tabs>
        <w:spacing w:after="0" w:line="240" w:lineRule="auto"/>
        <w:ind w:left="281" w:hanging="283"/>
        <w:jc w:val="lowKashida"/>
        <w:rPr>
          <w:rFonts w:cs="Simplified Arabic"/>
          <w:sz w:val="28"/>
          <w:szCs w:val="28"/>
          <w:rtl/>
        </w:rPr>
      </w:pPr>
      <w:r>
        <w:rPr>
          <w:rFonts w:cs="Simplified Arabic" w:hint="cs"/>
          <w:sz w:val="28"/>
          <w:szCs w:val="28"/>
          <w:rtl/>
        </w:rPr>
        <w:t xml:space="preserve">قيمة نسبة الكسب المعدلة لـ بلاك فى </w:t>
      </w:r>
      <w:r>
        <w:rPr>
          <w:rFonts w:cs="Simplified Arabic"/>
          <w:sz w:val="28"/>
          <w:szCs w:val="28"/>
          <w:rtl/>
        </w:rPr>
        <w:t>الاتجاه ككل وفى كل بعد على حده</w:t>
      </w:r>
      <w:r>
        <w:rPr>
          <w:rFonts w:cs="Simplified Arabic" w:hint="cs"/>
          <w:sz w:val="28"/>
          <w:szCs w:val="28"/>
          <w:rtl/>
        </w:rPr>
        <w:t xml:space="preserve"> تراوحت بين القيمة (1.05 </w:t>
      </w:r>
      <w:r>
        <w:rPr>
          <w:rFonts w:cs="Simplified Arabic"/>
          <w:sz w:val="28"/>
          <w:szCs w:val="28"/>
          <w:rtl/>
        </w:rPr>
        <w:t>–</w:t>
      </w:r>
      <w:r>
        <w:rPr>
          <w:rFonts w:cs="Simplified Arabic" w:hint="cs"/>
          <w:sz w:val="28"/>
          <w:szCs w:val="28"/>
          <w:rtl/>
        </w:rPr>
        <w:t xml:space="preserve"> 1.10) مما يدل على فاعلية متوسطة ومقبولة للمعالجة التجريبية فى </w:t>
      </w:r>
      <w:r>
        <w:rPr>
          <w:rFonts w:cs="Simplified Arabic"/>
          <w:sz w:val="28"/>
          <w:szCs w:val="28"/>
          <w:rtl/>
        </w:rPr>
        <w:t>الاتجاه ككل وفى كل بعد على حده</w:t>
      </w:r>
      <w:r>
        <w:rPr>
          <w:rFonts w:cs="Simplified Arabic" w:hint="cs"/>
          <w:sz w:val="28"/>
          <w:szCs w:val="28"/>
          <w:rtl/>
        </w:rPr>
        <w:t xml:space="preserve">. </w:t>
      </w:r>
    </w:p>
    <w:p>
      <w:pPr>
        <w:numPr>
          <w:ilvl w:val="0"/>
          <w:numId w:val="27"/>
        </w:numPr>
        <w:tabs>
          <w:tab w:val="num" w:pos="281"/>
        </w:tabs>
        <w:spacing w:after="0" w:line="240" w:lineRule="auto"/>
        <w:ind w:left="281" w:hanging="283"/>
        <w:jc w:val="lowKashida"/>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وتتفق نتائج هذه الدراسة مع دراسة (بلابل ، 2014)، (يوسف ،2014)،(حمزه،2019)، (متولى ،2019)،(ابراهيم ،2022).</w:t>
      </w:r>
    </w:p>
    <w:p>
      <w:pPr>
        <w:pStyle w:val="ListParagraph"/>
        <w:numPr>
          <w:ilvl w:val="0"/>
          <w:numId w:val="27"/>
        </w:numPr>
        <w:tabs>
          <w:tab w:val="clear" w:pos="1440"/>
          <w:tab w:val="num" w:pos="206"/>
        </w:tabs>
        <w:spacing w:after="0" w:line="240" w:lineRule="auto"/>
        <w:ind w:left="476"/>
        <w:contextualSpacing w:val="0"/>
        <w:jc w:val="lowKashida"/>
        <w:rPr>
          <w:b/>
          <w:bCs/>
          <w:sz w:val="28"/>
          <w:szCs w:val="28"/>
        </w:rPr>
      </w:pPr>
      <w:r>
        <w:rPr>
          <w:rFonts w:hint="cs"/>
          <w:b/>
          <w:bCs/>
          <w:sz w:val="28"/>
          <w:szCs w:val="28"/>
          <w:rtl/>
        </w:rPr>
        <w:t>ويمكن تفسير النتائج الخاصة بالفرض الأول كما يلى:</w:t>
      </w:r>
    </w:p>
    <w:p>
      <w:pPr>
        <w:pStyle w:val="ListParagraph"/>
        <w:ind w:left="116"/>
        <w:jc w:val="both"/>
        <w:rPr>
          <w:sz w:val="28"/>
          <w:szCs w:val="28"/>
        </w:rPr>
      </w:pPr>
      <w:r>
        <w:rPr>
          <w:rFonts w:hint="cs"/>
          <w:sz w:val="28"/>
          <w:szCs w:val="28"/>
          <w:rtl/>
        </w:rPr>
        <w:t>-إستخدام نظرية التعلم الخبراتى كان لها أثر فعال  فى تنمية الإتجاه نحو مادة الفلسفة ، وظهر ذلك فى نشاط الطلاب وحبهم للماده،لأنها أتاحت لهم التعبير عن آرائهم وتعزيز الثقة بالنفس.</w:t>
      </w:r>
    </w:p>
    <w:p>
      <w:pPr>
        <w:jc w:val="both"/>
        <w:rPr>
          <w:sz w:val="28"/>
          <w:szCs w:val="28"/>
          <w:rtl/>
        </w:rPr>
      </w:pPr>
      <w:r>
        <w:rPr>
          <w:rFonts w:hint="cs"/>
          <w:sz w:val="28"/>
          <w:szCs w:val="28"/>
          <w:rtl/>
        </w:rPr>
        <w:t>-استخدام إستراتيجيات مع مراحل نظرية التعلم الخبراتى كلإستقصاء والعصف الذهنى والتعلم التعاونى ساعد على تعزيز التعاون والمشاركة وتعديل إتجاهات الطلاب نحو مادة الفلسفة.</w:t>
      </w:r>
    </w:p>
    <w:p>
      <w:pPr>
        <w:jc w:val="both"/>
        <w:rPr>
          <w:sz w:val="28"/>
          <w:szCs w:val="28"/>
          <w:rtl/>
        </w:rPr>
      </w:pPr>
      <w:r>
        <w:rPr>
          <w:rFonts w:hint="cs"/>
          <w:sz w:val="28"/>
          <w:szCs w:val="28"/>
          <w:rtl/>
        </w:rPr>
        <w:t>-وهذا يرجع إلى المعالجة التجريبية المستخدمه فى نظرية التعلم الخبراتى ،بلإضافة إلى الخبرات التعليمية التى تعرضن لها والأنشطة  التعليمية والمواقف والقضايا الحياتية مما نمى لديهم الإتجاه نحو الماده</w:t>
      </w:r>
    </w:p>
    <w:p>
      <w:pPr>
        <w:jc w:val="both"/>
        <w:rPr>
          <w:sz w:val="28"/>
          <w:szCs w:val="28"/>
          <w:rtl/>
        </w:rPr>
      </w:pPr>
      <w:r>
        <w:rPr>
          <w:rFonts w:hint="cs"/>
          <w:sz w:val="28"/>
          <w:szCs w:val="28"/>
          <w:rtl/>
        </w:rPr>
        <w:t>-استخدام نظرية التعلم الخبراتى ساعد على توفير جو يسوده الديموقراطية والهدوء والراحة والسعاده  بين الطلاب ، وتقديم التعزيزات كل هذا عمل على تنمية الإتجاه لديهم.</w:t>
      </w:r>
    </w:p>
    <w:p>
      <w:pPr>
        <w:jc w:val="both"/>
        <w:rPr>
          <w:sz w:val="28"/>
          <w:szCs w:val="28"/>
          <w:rtl/>
        </w:rPr>
      </w:pPr>
      <w:r>
        <w:rPr>
          <w:rFonts w:hint="cs"/>
          <w:sz w:val="28"/>
          <w:szCs w:val="28"/>
          <w:rtl/>
        </w:rPr>
        <w:t>-إمكانية تضمين مواقف ومشكلات  حياتية فى الموضوعات الفلسفية قد زادت الطلاب شغفاً وحباً للماده.</w:t>
      </w:r>
    </w:p>
    <w:p>
      <w:pPr>
        <w:jc w:val="both"/>
        <w:rPr>
          <w:sz w:val="28"/>
          <w:szCs w:val="28"/>
          <w:rtl/>
        </w:rPr>
      </w:pPr>
      <w:r>
        <w:rPr>
          <w:rFonts w:hint="cs"/>
          <w:sz w:val="28"/>
          <w:szCs w:val="28"/>
          <w:rtl/>
        </w:rPr>
        <w:t>- إستخدام التعلم التعاونى كأحد إستراتيجيات التدريس داخل حجرة الصف الدراسى كأحد إجراءات التدريس شجع الطلاب على زيادة الثقة بالنفس والمثابرة لإنجاز المهام ، وتحقيق الأهداف المطلوبة بالشكل المناسب مما حسن لديهم الاتجاه نحوها.</w:t>
      </w:r>
    </w:p>
    <w:p>
      <w:pPr>
        <w:jc w:val="both"/>
        <w:rPr>
          <w:sz w:val="28"/>
          <w:szCs w:val="28"/>
          <w:rtl/>
        </w:rPr>
      </w:pPr>
      <w:r>
        <w:rPr>
          <w:rFonts w:hint="cs"/>
          <w:sz w:val="28"/>
          <w:szCs w:val="28"/>
          <w:rtl/>
        </w:rPr>
        <w:t>-إستخدام التغذية الراجعة كأحد مبادئ التعلم الخبراتى ، حيث إمكانية التعلم عن طريق المحاولة والخطأ ، أدى إلى تدعيم الإستجابات الصحيحة ، وتصحيح الإستجابات الخطأ  مما أدى إلى زيادة الإتجاه الإيجابى نحو المادة.</w:t>
      </w:r>
    </w:p>
    <w:p>
      <w:pPr>
        <w:jc w:val="both"/>
        <w:rPr>
          <w:sz w:val="28"/>
          <w:szCs w:val="28"/>
          <w:rtl/>
        </w:rPr>
      </w:pPr>
      <w:r>
        <w:rPr>
          <w:rFonts w:hint="cs"/>
          <w:sz w:val="28"/>
          <w:szCs w:val="28"/>
          <w:rtl/>
        </w:rPr>
        <w:t>-مراعاة نظرية التعلم الخبراتى الخبرات السابقة لدى الطلاب لتحديد استعدادات الطلاب مما يتيح للمعلم لمعرفة أنسب طرق التعلم لهم والأنشطة التى تناسبهم ، ساعد ذلك على تكوين إتجاهات إيجابية.</w:t>
      </w:r>
    </w:p>
    <w:p>
      <w:pPr>
        <w:jc w:val="both"/>
        <w:rPr>
          <w:sz w:val="28"/>
          <w:szCs w:val="28"/>
          <w:rtl/>
        </w:rPr>
      </w:pPr>
      <w:r>
        <w:rPr>
          <w:rFonts w:hint="cs"/>
          <w:sz w:val="28"/>
          <w:szCs w:val="28"/>
          <w:rtl/>
        </w:rPr>
        <w:t>-إتاحة التعلم الخبراتى بيئة تفاعلية داخل حجرة الدراسة مما ساهم فى تنمية الحوار والمناقشة والثقة بالنفس فى التعبير عن الرأى ، والإستفاده من خبرة المعلم والزملاء مما أدى إلى تنمية الاتجاه.</w:t>
      </w:r>
    </w:p>
    <w:p>
      <w:pPr>
        <w:jc w:val="both"/>
        <w:rPr>
          <w:sz w:val="28"/>
          <w:szCs w:val="28"/>
          <w:rtl/>
        </w:rPr>
      </w:pPr>
      <w:r>
        <w:rPr>
          <w:rFonts w:hint="cs"/>
          <w:sz w:val="28"/>
          <w:szCs w:val="28"/>
          <w:rtl/>
        </w:rPr>
        <w:lastRenderedPageBreak/>
        <w:t>-إقتصار دور المعلم على التوجيه والإرشاد داخل حجرة الصف الدراسي أثناء حل الأنشطة الموجوده فى أوراق العمل ، وإستخدام التقويم لضمان الوصول للحل الصحيح ، ساعد على تغيير إتجاه الطلاب إلى مادة الفلسفة.</w:t>
      </w:r>
    </w:p>
    <w:p>
      <w:pPr>
        <w:spacing w:before="120" w:after="120"/>
        <w:ind w:left="50"/>
        <w:jc w:val="both"/>
        <w:rPr>
          <w:rFonts w:ascii="Times New Roman" w:eastAsia="Times New Roman" w:hAnsi="Times New Roman" w:cs="Simplified Arabic"/>
          <w:b/>
          <w:bCs/>
          <w:sz w:val="28"/>
          <w:szCs w:val="28"/>
          <w:rtl/>
          <w:lang w:bidi="ar-EG"/>
        </w:rPr>
      </w:pPr>
      <w:r>
        <w:rPr>
          <w:rFonts w:ascii="Times New Roman" w:eastAsia="Times New Roman" w:hAnsi="Times New Roman" w:cs="Simplified Arabic" w:hint="cs"/>
          <w:b/>
          <w:bCs/>
          <w:sz w:val="28"/>
          <w:szCs w:val="28"/>
          <w:rtl/>
          <w:lang w:bidi="ar-EG"/>
        </w:rPr>
        <w:t>ثانياً: توصيات البحث:</w:t>
      </w:r>
    </w:p>
    <w:p>
      <w:pPr>
        <w:spacing w:after="0" w:line="240" w:lineRule="auto"/>
        <w:jc w:val="lowKashida"/>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فى ضوء ما أسفرت عنه النتائج التى تم التوصل إليها، والتى أشارت إلى فعالية البرنامج القائم على نظرية التعلم الخبراتى لتنمية الإتجاه نحو الماده لدى طلاب المرحلة الثانوية، توصى الدراسة الحالية بما يلى:</w:t>
      </w:r>
    </w:p>
    <w:p>
      <w:pPr>
        <w:numPr>
          <w:ilvl w:val="0"/>
          <w:numId w:val="34"/>
        </w:numPr>
        <w:spacing w:after="0" w:line="240" w:lineRule="auto"/>
        <w:ind w:left="180"/>
        <w:jc w:val="both"/>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-ضروره عقد دورات تدريبية لمعلمى الفلسفة قبل الخدمه وأثنائها حول إستخدام نظرية التعلم الخبراتى ، وكيفيه توظيفها وإستخدام مراحلها ومبادئها فى التدريس.</w:t>
      </w:r>
    </w:p>
    <w:p>
      <w:pPr>
        <w:numPr>
          <w:ilvl w:val="0"/>
          <w:numId w:val="34"/>
        </w:numPr>
        <w:spacing w:after="0" w:line="240" w:lineRule="auto"/>
        <w:ind w:left="180"/>
        <w:jc w:val="both"/>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-ضرورة إستخدام نظرية التعلم الخبراتى فى المراحل الدراسية المختلفة ، لمناسبتها لجميع المراحل ولقدرتها على تنميه مهارات التفكير العليا.</w:t>
      </w:r>
    </w:p>
    <w:p>
      <w:pPr>
        <w:numPr>
          <w:ilvl w:val="0"/>
          <w:numId w:val="34"/>
        </w:numPr>
        <w:spacing w:after="0" w:line="240" w:lineRule="auto"/>
        <w:ind w:left="180"/>
        <w:jc w:val="both"/>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-الإهتمام بالأنشطة التى تسهم فى توظيف نظرية التعلم الخبراتى داخل المناهج الدراسية.</w:t>
      </w:r>
    </w:p>
    <w:p>
      <w:pPr>
        <w:numPr>
          <w:ilvl w:val="0"/>
          <w:numId w:val="34"/>
        </w:numPr>
        <w:spacing w:after="0" w:line="240" w:lineRule="auto"/>
        <w:ind w:left="180"/>
        <w:jc w:val="both"/>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-إعداد دورات تدريبية للمعلمين لتعريفهم بكيفية التدريس وفق نظرية التعلم الخبراتى ، مع بيان أهميتها للدرس الفلسفى.</w:t>
      </w:r>
    </w:p>
    <w:p>
      <w:pPr>
        <w:numPr>
          <w:ilvl w:val="0"/>
          <w:numId w:val="34"/>
        </w:numPr>
        <w:spacing w:after="0" w:line="240" w:lineRule="auto"/>
        <w:ind w:left="180"/>
        <w:jc w:val="both"/>
        <w:rPr>
          <w:rFonts w:ascii="Times New Roman" w:eastAsia="Times New Roman" w:hAnsi="Times New Roman" w:cs="Simplified Arabic"/>
          <w:sz w:val="28"/>
          <w:szCs w:val="28"/>
        </w:rPr>
      </w:pPr>
      <w:r>
        <w:rPr>
          <w:rFonts w:ascii="Times New Roman" w:eastAsia="Times New Roman" w:hAnsi="Times New Roman" w:cs="Simplified Arabic"/>
          <w:sz w:val="28"/>
          <w:szCs w:val="28"/>
          <w:rtl/>
        </w:rPr>
        <w:t>اعتماد طرق تدريس تبتعد قدر الإمكان عن التلقين ،والإعتماد على الطرق الحديثة التى تعطى الطالب الحرية فى العملية التعليمية من حيث التفكير،والمناقشة والمشاركة وإبداء الرأى .</w:t>
      </w:r>
    </w:p>
    <w:p>
      <w:pPr>
        <w:spacing w:after="0" w:line="240" w:lineRule="auto"/>
        <w:jc w:val="lowKashida"/>
        <w:rPr>
          <w:rFonts w:ascii="Times New Roman" w:eastAsia="Times New Roman" w:hAnsi="Times New Roman" w:cs="Simplified Arabic"/>
          <w:b/>
          <w:bCs/>
          <w:sz w:val="28"/>
          <w:szCs w:val="28"/>
          <w:rtl/>
        </w:rPr>
      </w:pPr>
    </w:p>
    <w:p>
      <w:pPr>
        <w:spacing w:after="0" w:line="240" w:lineRule="auto"/>
        <w:jc w:val="lowKashida"/>
        <w:rPr>
          <w:rFonts w:ascii="Times New Roman" w:eastAsia="Times New Roman" w:hAnsi="Times New Roman" w:cs="Simplified Arabic"/>
          <w:b/>
          <w:bCs/>
          <w:sz w:val="28"/>
          <w:szCs w:val="28"/>
        </w:rPr>
      </w:pPr>
      <w:r>
        <w:rPr>
          <w:rFonts w:ascii="Times New Roman" w:eastAsia="Times New Roman" w:hAnsi="Times New Roman" w:cs="Simplified Arabic" w:hint="cs"/>
          <w:b/>
          <w:bCs/>
          <w:sz w:val="28"/>
          <w:szCs w:val="28"/>
          <w:rtl/>
        </w:rPr>
        <w:t>مقترحات البحث:</w:t>
      </w:r>
    </w:p>
    <w:p>
      <w:pPr>
        <w:numPr>
          <w:ilvl w:val="0"/>
          <w:numId w:val="33"/>
        </w:num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tl/>
        </w:rPr>
        <w:t>تطوير مناهج الفلسفة بالمرحلة الثانوية في ضوء نظرية التعلم الخبراتي لتنمية عمق المعرفة الفلسفية</w:t>
      </w:r>
      <w:r>
        <w:rPr>
          <w:rFonts w:ascii="Times New Roman" w:eastAsia="Times New Roman" w:hAnsi="Times New Roman" w:cs="Times New Roman" w:hint="cs"/>
          <w:sz w:val="28"/>
          <w:szCs w:val="28"/>
          <w:rtl/>
        </w:rPr>
        <w:t xml:space="preserve"> والإتجاه نحو الماده</w:t>
      </w:r>
      <w:r>
        <w:rPr>
          <w:rFonts w:ascii="Times New Roman" w:eastAsia="Times New Roman" w:hAnsi="Times New Roman" w:cs="Times New Roman"/>
          <w:sz w:val="28"/>
          <w:szCs w:val="28"/>
          <w:rtl/>
        </w:rPr>
        <w:t xml:space="preserve"> لدى </w:t>
      </w:r>
      <w:r>
        <w:rPr>
          <w:rFonts w:ascii="Times New Roman" w:eastAsia="Times New Roman" w:hAnsi="Times New Roman" w:cs="Times New Roman" w:hint="cs"/>
          <w:sz w:val="28"/>
          <w:szCs w:val="28"/>
          <w:rtl/>
        </w:rPr>
        <w:t>طلاب المرحلة الثانوية</w:t>
      </w:r>
      <w:r>
        <w:rPr>
          <w:rFonts w:ascii="Times New Roman" w:eastAsia="Times New Roman" w:hAnsi="Times New Roman" w:cs="Times New Roman"/>
          <w:sz w:val="28"/>
          <w:szCs w:val="28"/>
        </w:rPr>
        <w:t>.</w:t>
      </w:r>
    </w:p>
    <w:p>
      <w:pPr>
        <w:numPr>
          <w:ilvl w:val="0"/>
          <w:numId w:val="33"/>
        </w:num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tl/>
        </w:rPr>
        <w:t xml:space="preserve">أثر استخدام استراتيجيات التعلم الخبراتي في تدريس الفلسفة على تنمية مستويات عمق المعرفة الفلسفية </w:t>
      </w:r>
      <w:r>
        <w:rPr>
          <w:rFonts w:ascii="Times New Roman" w:eastAsia="Times New Roman" w:hAnsi="Times New Roman" w:cs="Times New Roman" w:hint="cs"/>
          <w:sz w:val="28"/>
          <w:szCs w:val="28"/>
          <w:rtl/>
        </w:rPr>
        <w:t>والدافعية للإنجاز</w:t>
      </w:r>
      <w:r>
        <w:rPr>
          <w:rFonts w:ascii="Times New Roman" w:eastAsia="Times New Roman" w:hAnsi="Times New Roman" w:cs="Times New Roman"/>
          <w:sz w:val="28"/>
          <w:szCs w:val="28"/>
          <w:rtl/>
        </w:rPr>
        <w:t xml:space="preserve"> لدى طلاب المرحلة الثانوية</w:t>
      </w:r>
      <w:r>
        <w:rPr>
          <w:rFonts w:ascii="Times New Roman" w:eastAsia="Times New Roman" w:hAnsi="Times New Roman" w:cs="Times New Roman"/>
          <w:sz w:val="28"/>
          <w:szCs w:val="28"/>
        </w:rPr>
        <w:t>.</w:t>
      </w:r>
    </w:p>
    <w:p>
      <w:pPr>
        <w:numPr>
          <w:ilvl w:val="0"/>
          <w:numId w:val="33"/>
        </w:num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tl/>
        </w:rPr>
        <w:t xml:space="preserve">فاعلية برنامج قائم على </w:t>
      </w:r>
      <w:r>
        <w:rPr>
          <w:rFonts w:ascii="Times New Roman" w:eastAsia="Times New Roman" w:hAnsi="Times New Roman" w:cs="Times New Roman" w:hint="cs"/>
          <w:sz w:val="28"/>
          <w:szCs w:val="28"/>
          <w:rtl/>
        </w:rPr>
        <w:t>مبادئ</w:t>
      </w:r>
      <w:r>
        <w:rPr>
          <w:rFonts w:ascii="Times New Roman" w:eastAsia="Times New Roman" w:hAnsi="Times New Roman" w:cs="Times New Roman"/>
          <w:sz w:val="28"/>
          <w:szCs w:val="28"/>
          <w:rtl/>
        </w:rPr>
        <w:t xml:space="preserve"> نظرية التعلم الخبراتي تنمية مهارات التفكير الفلسفي وعمق المعرفة الفلسفية لدى طلاب الصف الأول الثانوي</w:t>
      </w:r>
      <w:r>
        <w:rPr>
          <w:rFonts w:ascii="Times New Roman" w:eastAsia="Times New Roman" w:hAnsi="Times New Roman" w:cs="Times New Roman"/>
          <w:sz w:val="28"/>
          <w:szCs w:val="28"/>
        </w:rPr>
        <w:t>.</w:t>
      </w:r>
    </w:p>
    <w:p>
      <w:pPr>
        <w:numPr>
          <w:ilvl w:val="0"/>
          <w:numId w:val="33"/>
        </w:num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tl/>
        </w:rPr>
        <w:t xml:space="preserve">فاعلية </w:t>
      </w:r>
      <w:r>
        <w:rPr>
          <w:rFonts w:ascii="Times New Roman" w:eastAsia="Times New Roman" w:hAnsi="Times New Roman" w:cs="Times New Roman" w:hint="cs"/>
          <w:sz w:val="28"/>
          <w:szCs w:val="28"/>
          <w:rtl/>
        </w:rPr>
        <w:t>برنامج</w:t>
      </w:r>
      <w:r>
        <w:rPr>
          <w:rFonts w:ascii="Times New Roman" w:eastAsia="Times New Roman" w:hAnsi="Times New Roman" w:cs="Times New Roman"/>
          <w:sz w:val="28"/>
          <w:szCs w:val="28"/>
          <w:rtl/>
        </w:rPr>
        <w:t xml:space="preserve"> تعليمي قائم على نظرية التعلم الخبراتي في تدريس الفلسفة لتنمية الوعي الفلسفي بالقضايا المعاصرة والمسؤولية الاجتماعية لدى طلاب المرحلة الثانوية</w:t>
      </w:r>
      <w:r>
        <w:rPr>
          <w:rFonts w:ascii="Times New Roman" w:eastAsia="Times New Roman" w:hAnsi="Times New Roman" w:cs="Times New Roman"/>
          <w:sz w:val="28"/>
          <w:szCs w:val="28"/>
        </w:rPr>
        <w:t>.</w:t>
      </w:r>
    </w:p>
    <w:p>
      <w:pPr>
        <w:numPr>
          <w:ilvl w:val="0"/>
          <w:numId w:val="33"/>
        </w:num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tl/>
        </w:rPr>
        <w:t xml:space="preserve">أثر الدمج بين نظرية التعلم الخبراتي واستراتيجيات التعلم النشط في تدريس الفلسفة على تنمية التحصيل وعمق المعرفة الفلسفية والدافعية للتعلم لدى </w:t>
      </w:r>
      <w:r>
        <w:rPr>
          <w:rFonts w:ascii="Times New Roman" w:eastAsia="Times New Roman" w:hAnsi="Times New Roman" w:cs="Times New Roman" w:hint="cs"/>
          <w:sz w:val="28"/>
          <w:szCs w:val="28"/>
          <w:rtl/>
        </w:rPr>
        <w:t>طلاب المرحلة الثانوية</w:t>
      </w:r>
      <w:r>
        <w:rPr>
          <w:rFonts w:ascii="Times New Roman" w:eastAsia="Times New Roman" w:hAnsi="Times New Roman" w:cs="Times New Roman"/>
          <w:sz w:val="28"/>
          <w:szCs w:val="28"/>
        </w:rPr>
        <w:t>.</w:t>
      </w:r>
    </w:p>
    <w:p>
      <w:pPr>
        <w:numPr>
          <w:ilvl w:val="0"/>
          <w:numId w:val="33"/>
        </w:num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tl/>
        </w:rPr>
        <w:t>فاعلية برنامج مقترح في تدريس الفلسفة قائم على نظرية التعلم الخبراتي في تنمية مهارات التفكير المستقبلي واتخاذ القرار لدى طلاب شعبة الفلسفة والاجتماع بكلية التربية</w:t>
      </w:r>
      <w:r>
        <w:rPr>
          <w:rFonts w:ascii="Times New Roman" w:eastAsia="Times New Roman" w:hAnsi="Times New Roman" w:cs="Times New Roman"/>
          <w:sz w:val="28"/>
          <w:szCs w:val="28"/>
        </w:rPr>
        <w:t>.</w:t>
      </w:r>
    </w:p>
    <w:p>
      <w:pPr>
        <w:numPr>
          <w:ilvl w:val="0"/>
          <w:numId w:val="33"/>
        </w:num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tl/>
        </w:rPr>
        <w:t xml:space="preserve">أثر استخدام التعلم الخبراتي في تدريس الفلسفة على تنمية مهارات </w:t>
      </w:r>
      <w:r>
        <w:rPr>
          <w:rFonts w:ascii="Times New Roman" w:eastAsia="Times New Roman" w:hAnsi="Times New Roman" w:cs="Times New Roman" w:hint="cs"/>
          <w:sz w:val="28"/>
          <w:szCs w:val="28"/>
          <w:rtl/>
        </w:rPr>
        <w:t>التفكير المنتج</w:t>
      </w:r>
      <w:r>
        <w:rPr>
          <w:rFonts w:ascii="Times New Roman" w:eastAsia="Times New Roman" w:hAnsi="Times New Roman" w:cs="Times New Roman"/>
          <w:sz w:val="28"/>
          <w:szCs w:val="28"/>
          <w:rtl/>
        </w:rPr>
        <w:t xml:space="preserve"> لدى طلاب المرحلة الثانوية</w:t>
      </w:r>
    </w:p>
    <w:p>
      <w:pPr>
        <w:spacing w:before="120" w:after="120"/>
        <w:ind w:left="5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مراجع البحث:</w:t>
      </w:r>
    </w:p>
    <w:p>
      <w:pPr>
        <w:pStyle w:val="ListParagraph"/>
        <w:numPr>
          <w:ilvl w:val="0"/>
          <w:numId w:val="38"/>
        </w:numPr>
        <w:jc w:val="both"/>
        <w:rPr>
          <w:rFonts w:ascii="Simplified Arabic" w:hAnsi="Simplified Arabic" w:cs="Simplified Arabic"/>
          <w:color w:val="222222"/>
          <w:sz w:val="28"/>
          <w:szCs w:val="28"/>
          <w:shd w:val="clear" w:color="auto" w:fill="FFFFFF"/>
          <w:rtl/>
        </w:rPr>
      </w:pPr>
      <w:r>
        <w:rPr>
          <w:rFonts w:ascii="Simplified Arabic" w:hAnsi="Simplified Arabic" w:cs="Simplified Arabic" w:hint="cs"/>
          <w:color w:val="222222"/>
          <w:sz w:val="28"/>
          <w:szCs w:val="28"/>
          <w:shd w:val="clear" w:color="auto" w:fill="FFFFFF"/>
          <w:rtl/>
        </w:rPr>
        <w:t>إبراهيم،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رائف</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صلاح</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محمد</w:t>
      </w:r>
      <w:r>
        <w:rPr>
          <w:rFonts w:ascii="Simplified Arabic" w:hAnsi="Simplified Arabic" w:cs="Simplified Arabic"/>
          <w:color w:val="222222"/>
          <w:sz w:val="28"/>
          <w:szCs w:val="28"/>
          <w:shd w:val="clear" w:color="auto" w:fill="FFFFFF"/>
          <w:rtl/>
        </w:rPr>
        <w:t xml:space="preserve">(2022). </w:t>
      </w:r>
      <w:r>
        <w:rPr>
          <w:rFonts w:ascii="Simplified Arabic" w:hAnsi="Simplified Arabic" w:cs="Simplified Arabic" w:hint="cs"/>
          <w:color w:val="222222"/>
          <w:sz w:val="28"/>
          <w:szCs w:val="28"/>
          <w:shd w:val="clear" w:color="auto" w:fill="FFFFFF"/>
          <w:rtl/>
        </w:rPr>
        <w:t>برنامج</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تدريبى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حول</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فلسفة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ابن</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رشد</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لتنمية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التنور</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العقلى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والاتجاه</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نحو</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الفلسفة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لدى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الطالب</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معلم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الفلسفة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بكلية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التربية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مجلة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جامعة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الفيوم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للعلوم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التربوية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والنفسية،ع</w:t>
      </w:r>
      <w:r>
        <w:rPr>
          <w:rFonts w:ascii="Simplified Arabic" w:hAnsi="Simplified Arabic" w:cs="Simplified Arabic"/>
          <w:color w:val="222222"/>
          <w:sz w:val="28"/>
          <w:szCs w:val="28"/>
          <w:shd w:val="clear" w:color="auto" w:fill="FFFFFF"/>
          <w:rtl/>
        </w:rPr>
        <w:t>16: 633-709</w:t>
      </w:r>
    </w:p>
    <w:p>
      <w:pPr>
        <w:pStyle w:val="ListParagraph"/>
        <w:numPr>
          <w:ilvl w:val="0"/>
          <w:numId w:val="38"/>
        </w:num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البديوى،عفاف سعيد فرج(2021). فعالية برنامج تدريبي قائم على نظرية التعلم الخبراتي في الاندماج الأكاديمي والرشاقة المعرفية لدى طالبات جامعة الأزهر،  المجلة المصرية للد راسات النفسية،ع113، 193-262.</w:t>
      </w:r>
    </w:p>
    <w:p>
      <w:pPr>
        <w:pStyle w:val="ListParagraph"/>
        <w:numPr>
          <w:ilvl w:val="0"/>
          <w:numId w:val="38"/>
        </w:numPr>
        <w:jc w:val="both"/>
        <w:rPr>
          <w:rFonts w:ascii="Simplified Arabic" w:hAnsi="Simplified Arabic" w:cs="Simplified Arabic"/>
          <w:color w:val="222222"/>
          <w:sz w:val="28"/>
          <w:szCs w:val="28"/>
          <w:shd w:val="clear" w:color="auto" w:fill="FFFFFF"/>
          <w:rtl/>
        </w:rPr>
      </w:pPr>
      <w:r>
        <w:rPr>
          <w:rFonts w:ascii="Simplified Arabic" w:hAnsi="Simplified Arabic" w:cs="Simplified Arabic" w:hint="cs"/>
          <w:color w:val="222222"/>
          <w:sz w:val="28"/>
          <w:szCs w:val="28"/>
          <w:shd w:val="clear" w:color="auto" w:fill="FFFFFF"/>
          <w:rtl/>
        </w:rPr>
        <w:t>بلابل،</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ماجدة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راغب</w:t>
      </w:r>
      <w:r>
        <w:rPr>
          <w:rFonts w:ascii="Simplified Arabic" w:hAnsi="Simplified Arabic" w:cs="Simplified Arabic"/>
          <w:color w:val="222222"/>
          <w:sz w:val="28"/>
          <w:szCs w:val="28"/>
          <w:shd w:val="clear" w:color="auto" w:fill="FFFFFF"/>
          <w:rtl/>
        </w:rPr>
        <w:t xml:space="preserve"> (2014).</w:t>
      </w:r>
      <w:r>
        <w:rPr>
          <w:rFonts w:ascii="Simplified Arabic" w:hAnsi="Simplified Arabic" w:cs="Simplified Arabic" w:hint="cs"/>
          <w:color w:val="222222"/>
          <w:sz w:val="28"/>
          <w:szCs w:val="28"/>
          <w:shd w:val="clear" w:color="auto" w:fill="FFFFFF"/>
          <w:rtl/>
        </w:rPr>
        <w:t>فاعلية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إستراتيجية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الإستقصاء</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التعاونى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في</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تنمية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التفكير</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الناقد</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والاتجاه</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نحو</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المادة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لدى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عينه</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من</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طالبات</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الصف</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الثانى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الثانوى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،مجلة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الجمعية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التربوية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للدراسات</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الإجتماعية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،ع</w:t>
      </w:r>
      <w:r>
        <w:rPr>
          <w:rFonts w:ascii="Simplified Arabic" w:hAnsi="Simplified Arabic" w:cs="Simplified Arabic"/>
          <w:color w:val="222222"/>
          <w:sz w:val="28"/>
          <w:szCs w:val="28"/>
          <w:shd w:val="clear" w:color="auto" w:fill="FFFFFF"/>
          <w:rtl/>
        </w:rPr>
        <w:t>58: 112-178</w:t>
      </w:r>
    </w:p>
    <w:p>
      <w:pPr>
        <w:pStyle w:val="ListParagraph"/>
        <w:numPr>
          <w:ilvl w:val="0"/>
          <w:numId w:val="38"/>
        </w:numPr>
        <w:jc w:val="both"/>
        <w:rPr>
          <w:rFonts w:ascii="Simplified Arabic" w:hAnsi="Simplified Arabic" w:cs="Simplified Arabic"/>
          <w:color w:val="222222"/>
          <w:sz w:val="28"/>
          <w:szCs w:val="28"/>
          <w:shd w:val="clear" w:color="auto" w:fill="FFFFFF"/>
          <w:rtl/>
        </w:rPr>
      </w:pPr>
      <w:r>
        <w:rPr>
          <w:rFonts w:ascii="Simplified Arabic" w:hAnsi="Simplified Arabic" w:cs="Simplified Arabic" w:hint="cs"/>
          <w:color w:val="222222"/>
          <w:sz w:val="28"/>
          <w:szCs w:val="28"/>
          <w:shd w:val="clear" w:color="auto" w:fill="FFFFFF"/>
          <w:rtl/>
        </w:rPr>
        <w:t>جامل،عبد</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الرحمن</w:t>
      </w:r>
      <w:r>
        <w:rPr>
          <w:rFonts w:ascii="Simplified Arabic" w:hAnsi="Simplified Arabic" w:cs="Simplified Arabic"/>
          <w:color w:val="222222"/>
          <w:sz w:val="28"/>
          <w:szCs w:val="28"/>
          <w:shd w:val="clear" w:color="auto" w:fill="FFFFFF"/>
          <w:rtl/>
        </w:rPr>
        <w:t xml:space="preserve">(2015). </w:t>
      </w:r>
      <w:r>
        <w:rPr>
          <w:rFonts w:ascii="Simplified Arabic" w:hAnsi="Simplified Arabic" w:cs="Simplified Arabic" w:hint="cs"/>
          <w:color w:val="222222"/>
          <w:sz w:val="28"/>
          <w:szCs w:val="28"/>
          <w:shd w:val="clear" w:color="auto" w:fill="FFFFFF"/>
          <w:rtl/>
        </w:rPr>
        <w:t>طرق</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تدريس</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المواد</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الإجتماعية، عمان</w:t>
      </w:r>
      <w:r>
        <w:rPr>
          <w:rFonts w:ascii="Simplified Arabic" w:hAnsi="Simplified Arabic" w:cs="Simplified Arabic"/>
          <w:color w:val="222222"/>
          <w:sz w:val="28"/>
          <w:szCs w:val="28"/>
          <w:shd w:val="clear" w:color="auto" w:fill="FFFFFF"/>
          <w:rtl/>
        </w:rPr>
        <w:t xml:space="preserve"> : </w:t>
      </w:r>
      <w:r>
        <w:rPr>
          <w:rFonts w:ascii="Simplified Arabic" w:hAnsi="Simplified Arabic" w:cs="Simplified Arabic" w:hint="cs"/>
          <w:color w:val="222222"/>
          <w:sz w:val="28"/>
          <w:szCs w:val="28"/>
          <w:shd w:val="clear" w:color="auto" w:fill="FFFFFF"/>
          <w:rtl/>
        </w:rPr>
        <w:t>دار</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المنهل</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للنشر</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الالكترونى</w:t>
      </w:r>
    </w:p>
    <w:p>
      <w:pPr>
        <w:pStyle w:val="ListParagraph"/>
        <w:numPr>
          <w:ilvl w:val="0"/>
          <w:numId w:val="38"/>
        </w:numPr>
        <w:jc w:val="both"/>
        <w:rPr>
          <w:rFonts w:ascii="Simplified Arabic" w:hAnsi="Simplified Arabic" w:cs="Simplified Arabic"/>
          <w:color w:val="222222"/>
          <w:sz w:val="28"/>
          <w:szCs w:val="28"/>
          <w:shd w:val="clear" w:color="auto" w:fill="FFFFFF"/>
          <w:rtl/>
        </w:rPr>
      </w:pPr>
      <w:r>
        <w:rPr>
          <w:rFonts w:ascii="Simplified Arabic" w:hAnsi="Simplified Arabic" w:cs="Simplified Arabic" w:hint="cs"/>
          <w:color w:val="222222"/>
          <w:sz w:val="28"/>
          <w:szCs w:val="28"/>
          <w:shd w:val="clear" w:color="auto" w:fill="FFFFFF"/>
          <w:rtl/>
        </w:rPr>
        <w:t>حمزه،</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ميساء</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محمد</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مصطفي</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أحمد</w:t>
      </w:r>
      <w:r>
        <w:rPr>
          <w:rFonts w:ascii="Simplified Arabic" w:hAnsi="Simplified Arabic" w:cs="Simplified Arabic"/>
          <w:color w:val="222222"/>
          <w:sz w:val="28"/>
          <w:szCs w:val="28"/>
          <w:shd w:val="clear" w:color="auto" w:fill="FFFFFF"/>
          <w:rtl/>
        </w:rPr>
        <w:t xml:space="preserve">(2017). </w:t>
      </w:r>
      <w:r>
        <w:rPr>
          <w:rFonts w:ascii="Simplified Arabic" w:hAnsi="Simplified Arabic" w:cs="Simplified Arabic" w:hint="cs"/>
          <w:color w:val="222222"/>
          <w:sz w:val="28"/>
          <w:szCs w:val="28"/>
          <w:shd w:val="clear" w:color="auto" w:fill="FFFFFF"/>
          <w:rtl/>
        </w:rPr>
        <w:t>أثر</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إستخدام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طريقة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ليبمان</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في</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تدريس</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الفلسفة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على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تنمية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مهارات</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التفكير</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الإستدلالى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والاتجاه</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نحو</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المادة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لدى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الطلاب</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المكفوفين</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بالصف</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الأول</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الثانوى،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مجلة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الجمعية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التربوية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للدراسات</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الإجتماعية،ع</w:t>
      </w:r>
      <w:r>
        <w:rPr>
          <w:rFonts w:ascii="Simplified Arabic" w:hAnsi="Simplified Arabic" w:cs="Simplified Arabic"/>
          <w:color w:val="222222"/>
          <w:sz w:val="28"/>
          <w:szCs w:val="28"/>
          <w:shd w:val="clear" w:color="auto" w:fill="FFFFFF"/>
          <w:rtl/>
        </w:rPr>
        <w:t>90: 140-205</w:t>
      </w:r>
    </w:p>
    <w:p>
      <w:pPr>
        <w:pStyle w:val="ListParagraph"/>
        <w:numPr>
          <w:ilvl w:val="0"/>
          <w:numId w:val="38"/>
        </w:numPr>
        <w:jc w:val="both"/>
        <w:rPr>
          <w:rFonts w:ascii="Simplified Arabic" w:hAnsi="Simplified Arabic" w:cs="Simplified Arabic"/>
          <w:color w:val="222222"/>
          <w:sz w:val="28"/>
          <w:szCs w:val="28"/>
          <w:shd w:val="clear" w:color="auto" w:fill="FFFFFF"/>
          <w:rtl/>
        </w:rPr>
      </w:pPr>
      <w:r>
        <w:rPr>
          <w:rFonts w:ascii="Simplified Arabic" w:hAnsi="Simplified Arabic" w:cs="Simplified Arabic" w:hint="cs"/>
          <w:color w:val="222222"/>
          <w:sz w:val="28"/>
          <w:szCs w:val="28"/>
          <w:shd w:val="clear" w:color="auto" w:fill="FFFFFF"/>
          <w:rtl/>
        </w:rPr>
        <w:t>الدريج</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محمد</w:t>
      </w:r>
      <w:r>
        <w:rPr>
          <w:rFonts w:ascii="Simplified Arabic" w:hAnsi="Simplified Arabic" w:cs="Simplified Arabic"/>
          <w:color w:val="222222"/>
          <w:sz w:val="28"/>
          <w:szCs w:val="28"/>
          <w:shd w:val="clear" w:color="auto" w:fill="FFFFFF"/>
          <w:rtl/>
        </w:rPr>
        <w:t xml:space="preserve">(2011) </w:t>
      </w:r>
      <w:r>
        <w:rPr>
          <w:rFonts w:ascii="Simplified Arabic" w:hAnsi="Simplified Arabic" w:cs="Simplified Arabic" w:hint="cs"/>
          <w:color w:val="222222"/>
          <w:sz w:val="28"/>
          <w:szCs w:val="28"/>
          <w:shd w:val="clear" w:color="auto" w:fill="FFFFFF"/>
          <w:rtl/>
        </w:rPr>
        <w:t>معجم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مصطلحات</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المناهج</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وطرق</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التدريس،</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الرباط</w:t>
      </w:r>
      <w:r>
        <w:rPr>
          <w:rFonts w:ascii="Simplified Arabic" w:hAnsi="Simplified Arabic" w:cs="Simplified Arabic"/>
          <w:color w:val="222222"/>
          <w:sz w:val="28"/>
          <w:szCs w:val="28"/>
          <w:shd w:val="clear" w:color="auto" w:fill="FFFFFF"/>
          <w:rtl/>
        </w:rPr>
        <w:t>:</w:t>
      </w:r>
      <w:r>
        <w:rPr>
          <w:rFonts w:ascii="Simplified Arabic" w:hAnsi="Simplified Arabic" w:cs="Simplified Arabic" w:hint="cs"/>
          <w:color w:val="222222"/>
          <w:sz w:val="28"/>
          <w:szCs w:val="28"/>
          <w:shd w:val="clear" w:color="auto" w:fill="FFFFFF"/>
          <w:rtl/>
        </w:rPr>
        <w:t>المنظمة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العربية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للتربية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والثقافة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والعلوم</w:t>
      </w:r>
      <w:r>
        <w:rPr>
          <w:rFonts w:ascii="Simplified Arabic" w:hAnsi="Simplified Arabic" w:cs="Simplified Arabic"/>
          <w:color w:val="222222"/>
          <w:sz w:val="28"/>
          <w:szCs w:val="28"/>
          <w:shd w:val="clear" w:color="auto" w:fill="FFFFFF"/>
          <w:rtl/>
        </w:rPr>
        <w:t>(</w:t>
      </w:r>
      <w:r>
        <w:rPr>
          <w:rFonts w:ascii="Simplified Arabic" w:hAnsi="Simplified Arabic" w:cs="Simplified Arabic"/>
          <w:color w:val="222222"/>
          <w:sz w:val="28"/>
          <w:szCs w:val="28"/>
          <w:shd w:val="clear" w:color="auto" w:fill="FFFFFF"/>
        </w:rPr>
        <w:t>ALECSO</w:t>
      </w:r>
      <w:r>
        <w:rPr>
          <w:rFonts w:ascii="Simplified Arabic" w:hAnsi="Simplified Arabic" w:cs="Simplified Arabic"/>
          <w:color w:val="222222"/>
          <w:sz w:val="28"/>
          <w:szCs w:val="28"/>
          <w:shd w:val="clear" w:color="auto" w:fill="FFFFFF"/>
          <w:rtl/>
        </w:rPr>
        <w:t>).</w:t>
      </w:r>
    </w:p>
    <w:p>
      <w:pPr>
        <w:pStyle w:val="ListParagraph"/>
        <w:numPr>
          <w:ilvl w:val="0"/>
          <w:numId w:val="38"/>
        </w:numPr>
        <w:jc w:val="both"/>
        <w:rPr>
          <w:rFonts w:ascii="Simplified Arabic" w:hAnsi="Simplified Arabic" w:cs="Simplified Arabic"/>
          <w:color w:val="222222"/>
          <w:sz w:val="28"/>
          <w:szCs w:val="28"/>
          <w:shd w:val="clear" w:color="auto" w:fill="FFFFFF"/>
          <w:rtl/>
        </w:rPr>
      </w:pPr>
      <w:r>
        <w:rPr>
          <w:rFonts w:ascii="Simplified Arabic" w:hAnsi="Simplified Arabic" w:cs="Simplified Arabic" w:hint="cs"/>
          <w:color w:val="222222"/>
          <w:sz w:val="28"/>
          <w:szCs w:val="28"/>
          <w:shd w:val="clear" w:color="auto" w:fill="FFFFFF"/>
          <w:rtl/>
        </w:rPr>
        <w:t>زيدان،محمد</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سعيد</w:t>
      </w:r>
      <w:r>
        <w:rPr>
          <w:rFonts w:ascii="Simplified Arabic" w:hAnsi="Simplified Arabic" w:cs="Simplified Arabic"/>
          <w:color w:val="222222"/>
          <w:sz w:val="28"/>
          <w:szCs w:val="28"/>
          <w:shd w:val="clear" w:color="auto" w:fill="FFFFFF"/>
          <w:rtl/>
        </w:rPr>
        <w:t xml:space="preserve">(2001). </w:t>
      </w:r>
      <w:r>
        <w:rPr>
          <w:rFonts w:ascii="Simplified Arabic" w:hAnsi="Simplified Arabic" w:cs="Simplified Arabic" w:hint="cs"/>
          <w:color w:val="222222"/>
          <w:sz w:val="28"/>
          <w:szCs w:val="28"/>
          <w:shd w:val="clear" w:color="auto" w:fill="FFFFFF"/>
          <w:rtl/>
        </w:rPr>
        <w:t>التفكير</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الفلسفي</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دراسة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تربوية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ط</w:t>
      </w:r>
      <w:r>
        <w:rPr>
          <w:rFonts w:ascii="Simplified Arabic" w:hAnsi="Simplified Arabic" w:cs="Simplified Arabic"/>
          <w:color w:val="222222"/>
          <w:sz w:val="28"/>
          <w:szCs w:val="28"/>
          <w:shd w:val="clear" w:color="auto" w:fill="FFFFFF"/>
          <w:rtl/>
        </w:rPr>
        <w:t>2</w:t>
      </w:r>
      <w:r>
        <w:rPr>
          <w:rFonts w:ascii="Simplified Arabic" w:hAnsi="Simplified Arabic" w:cs="Simplified Arabic" w:hint="cs"/>
          <w:color w:val="222222"/>
          <w:sz w:val="28"/>
          <w:szCs w:val="28"/>
          <w:shd w:val="clear" w:color="auto" w:fill="FFFFFF"/>
          <w:rtl/>
        </w:rPr>
        <w:t>،</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القاهرة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سفير</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للإعلام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والنشر</w:t>
      </w:r>
      <w:r>
        <w:rPr>
          <w:rFonts w:ascii="Simplified Arabic" w:hAnsi="Simplified Arabic" w:cs="Simplified Arabic"/>
          <w:color w:val="222222"/>
          <w:sz w:val="28"/>
          <w:szCs w:val="28"/>
          <w:shd w:val="clear" w:color="auto" w:fill="FFFFFF"/>
          <w:rtl/>
        </w:rPr>
        <w:t>.</w:t>
      </w:r>
    </w:p>
    <w:p>
      <w:pPr>
        <w:pStyle w:val="ListParagraph"/>
        <w:numPr>
          <w:ilvl w:val="0"/>
          <w:numId w:val="38"/>
        </w:numPr>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سعادة,جودت أحمد(2017).إستراتيجيات التدريس المعاصرة مع الأمثلة التطبيقية,الطبعة الأولى </w:t>
      </w:r>
      <w:r>
        <w:rPr>
          <w:rFonts w:ascii="Simplified Arabic" w:hAnsi="Simplified Arabic" w:cs="Simplified Arabic" w:hint="cs"/>
          <w:sz w:val="28"/>
          <w:szCs w:val="28"/>
          <w:rtl/>
          <w:lang w:bidi="ar-EG"/>
        </w:rPr>
        <w:t>، عمان</w:t>
      </w:r>
      <w:r>
        <w:rPr>
          <w:rFonts w:ascii="Simplified Arabic" w:hAnsi="Simplified Arabic" w:cs="Simplified Arabic"/>
          <w:sz w:val="28"/>
          <w:szCs w:val="28"/>
          <w:rtl/>
          <w:lang w:bidi="ar-EG"/>
        </w:rPr>
        <w:t>:دار المسيرة للنشر والتوزيع</w:t>
      </w:r>
    </w:p>
    <w:p>
      <w:pPr>
        <w:pStyle w:val="ListParagraph"/>
        <w:numPr>
          <w:ilvl w:val="0"/>
          <w:numId w:val="38"/>
        </w:num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سعادة,جودت(2014). التعلم الخبراتي أو التجريبي,الطبعة الأولى</w:t>
      </w:r>
      <w:r>
        <w:rPr>
          <w:rFonts w:ascii="Simplified Arabic" w:hAnsi="Simplified Arabic" w:cs="Simplified Arabic" w:hint="cs"/>
          <w:sz w:val="28"/>
          <w:szCs w:val="28"/>
          <w:rtl/>
          <w:lang w:bidi="ar-EG"/>
        </w:rPr>
        <w:t>، عمان</w:t>
      </w:r>
      <w:r>
        <w:rPr>
          <w:rFonts w:ascii="Simplified Arabic" w:hAnsi="Simplified Arabic" w:cs="Simplified Arabic"/>
          <w:sz w:val="28"/>
          <w:szCs w:val="28"/>
          <w:rtl/>
          <w:lang w:bidi="ar-EG"/>
        </w:rPr>
        <w:t>:دار الثقافة للنشر والتوزيع</w:t>
      </w:r>
    </w:p>
    <w:p>
      <w:pPr>
        <w:pStyle w:val="ListParagraph"/>
        <w:numPr>
          <w:ilvl w:val="0"/>
          <w:numId w:val="38"/>
        </w:num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سلام،باسم صبرى(2019). تأثير التعلم الخبراتى فى الجغرافيا على تنمية عمق المعرفة الجغرافية  والدافعية العقلية  لدى طلاب المرحلة الثانوية ، مجلة كلية التربية ،جامعة أسيوط،ع35: 189-233</w:t>
      </w:r>
    </w:p>
    <w:p>
      <w:pPr>
        <w:pStyle w:val="ListParagraph"/>
        <w:numPr>
          <w:ilvl w:val="0"/>
          <w:numId w:val="38"/>
        </w:numPr>
        <w:jc w:val="both"/>
        <w:rPr>
          <w:rFonts w:ascii="Simplified Arabic" w:hAnsi="Simplified Arabic" w:cs="Simplified Arabic"/>
          <w:color w:val="222222"/>
          <w:sz w:val="28"/>
          <w:szCs w:val="28"/>
          <w:shd w:val="clear" w:color="auto" w:fill="FFFFFF"/>
          <w:rtl/>
        </w:rPr>
      </w:pPr>
      <w:r>
        <w:rPr>
          <w:rFonts w:ascii="Simplified Arabic" w:hAnsi="Simplified Arabic" w:cs="Simplified Arabic" w:hint="cs"/>
          <w:color w:val="222222"/>
          <w:sz w:val="28"/>
          <w:szCs w:val="28"/>
          <w:shd w:val="clear" w:color="auto" w:fill="FFFFFF"/>
          <w:rtl/>
        </w:rPr>
        <w:lastRenderedPageBreak/>
        <w:t>سلامه،</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هشام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محمد</w:t>
      </w:r>
      <w:r>
        <w:rPr>
          <w:rFonts w:ascii="Simplified Arabic" w:hAnsi="Simplified Arabic" w:cs="Simplified Arabic"/>
          <w:color w:val="222222"/>
          <w:sz w:val="28"/>
          <w:szCs w:val="28"/>
          <w:shd w:val="clear" w:color="auto" w:fill="FFFFFF"/>
          <w:rtl/>
        </w:rPr>
        <w:t xml:space="preserve">(2001). </w:t>
      </w:r>
      <w:r>
        <w:rPr>
          <w:rFonts w:ascii="Simplified Arabic" w:hAnsi="Simplified Arabic" w:cs="Simplified Arabic" w:hint="cs"/>
          <w:color w:val="222222"/>
          <w:sz w:val="28"/>
          <w:szCs w:val="28"/>
          <w:shd w:val="clear" w:color="auto" w:fill="FFFFFF"/>
          <w:rtl/>
        </w:rPr>
        <w:t>تعلم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التفكير</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فعاليات</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الإستقصاء</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داخل</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حجرة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الدراسة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القاهرة</w:t>
      </w:r>
      <w:r>
        <w:rPr>
          <w:rFonts w:ascii="Simplified Arabic" w:hAnsi="Simplified Arabic" w:cs="Simplified Arabic"/>
          <w:color w:val="222222"/>
          <w:sz w:val="28"/>
          <w:szCs w:val="28"/>
          <w:shd w:val="clear" w:color="auto" w:fill="FFFFFF"/>
          <w:rtl/>
        </w:rPr>
        <w:t>:</w:t>
      </w:r>
      <w:r>
        <w:rPr>
          <w:rFonts w:ascii="Simplified Arabic" w:hAnsi="Simplified Arabic" w:cs="Simplified Arabic" w:hint="cs"/>
          <w:color w:val="222222"/>
          <w:sz w:val="28"/>
          <w:szCs w:val="28"/>
          <w:shd w:val="clear" w:color="auto" w:fill="FFFFFF"/>
          <w:rtl/>
        </w:rPr>
        <w:t>عالم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الكتب</w:t>
      </w:r>
    </w:p>
    <w:p>
      <w:pPr>
        <w:pStyle w:val="ListParagraph"/>
        <w:numPr>
          <w:ilvl w:val="0"/>
          <w:numId w:val="38"/>
        </w:numPr>
        <w:jc w:val="both"/>
        <w:rPr>
          <w:rFonts w:ascii="Simplified Arabic" w:hAnsi="Simplified Arabic" w:cs="Simplified Arabic"/>
          <w:color w:val="222222"/>
          <w:sz w:val="28"/>
          <w:szCs w:val="28"/>
          <w:shd w:val="clear" w:color="auto" w:fill="FFFFFF"/>
          <w:rtl/>
        </w:rPr>
      </w:pPr>
      <w:r>
        <w:rPr>
          <w:rFonts w:ascii="Simplified Arabic" w:hAnsi="Simplified Arabic" w:cs="Simplified Arabic" w:hint="cs"/>
          <w:color w:val="222222"/>
          <w:sz w:val="28"/>
          <w:szCs w:val="28"/>
          <w:shd w:val="clear" w:color="auto" w:fill="FFFFFF"/>
          <w:rtl/>
        </w:rPr>
        <w:t>سليمان،سليم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عبد</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الرحمن</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سيد</w:t>
      </w:r>
      <w:r>
        <w:rPr>
          <w:rFonts w:ascii="Simplified Arabic" w:hAnsi="Simplified Arabic" w:cs="Simplified Arabic"/>
          <w:color w:val="222222"/>
          <w:sz w:val="28"/>
          <w:szCs w:val="28"/>
          <w:shd w:val="clear" w:color="auto" w:fill="FFFFFF"/>
          <w:rtl/>
        </w:rPr>
        <w:t xml:space="preserve">(2013) </w:t>
      </w:r>
      <w:r>
        <w:rPr>
          <w:rFonts w:ascii="Simplified Arabic" w:hAnsi="Simplified Arabic" w:cs="Simplified Arabic" w:hint="cs"/>
          <w:color w:val="222222"/>
          <w:sz w:val="28"/>
          <w:szCs w:val="28"/>
          <w:shd w:val="clear" w:color="auto" w:fill="FFFFFF"/>
          <w:rtl/>
        </w:rPr>
        <w:t>برنامج</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مقترح</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قائم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على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المدخل</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الجمالى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لتنمية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القيم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الفلسفية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والاتجاه</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نحو</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مادة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الفلسفة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لدى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طلاب</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المرحلة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الثانوية،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مجلة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دراسات</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عربية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في</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التربية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وعلم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النفس،ع</w:t>
      </w:r>
      <w:r>
        <w:rPr>
          <w:rFonts w:ascii="Simplified Arabic" w:hAnsi="Simplified Arabic" w:cs="Simplified Arabic"/>
          <w:color w:val="222222"/>
          <w:sz w:val="28"/>
          <w:szCs w:val="28"/>
          <w:shd w:val="clear" w:color="auto" w:fill="FFFFFF"/>
          <w:rtl/>
        </w:rPr>
        <w:t>34: 60-102</w:t>
      </w:r>
    </w:p>
    <w:p>
      <w:pPr>
        <w:pStyle w:val="ListParagraph"/>
        <w:numPr>
          <w:ilvl w:val="0"/>
          <w:numId w:val="38"/>
        </w:numPr>
        <w:jc w:val="both"/>
        <w:rPr>
          <w:rFonts w:ascii="Simplified Arabic" w:hAnsi="Simplified Arabic" w:cs="Simplified Arabic"/>
          <w:color w:val="222222"/>
          <w:sz w:val="28"/>
          <w:szCs w:val="28"/>
          <w:shd w:val="clear" w:color="auto" w:fill="FFFFFF"/>
          <w:rtl/>
        </w:rPr>
      </w:pPr>
      <w:r>
        <w:rPr>
          <w:rFonts w:ascii="Simplified Arabic" w:hAnsi="Simplified Arabic" w:cs="Simplified Arabic" w:hint="cs"/>
          <w:color w:val="222222"/>
          <w:sz w:val="28"/>
          <w:szCs w:val="28"/>
          <w:shd w:val="clear" w:color="auto" w:fill="FFFFFF"/>
          <w:rtl/>
        </w:rPr>
        <w:t>شحاته،</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حسن</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و،النجار،</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زينب</w:t>
      </w:r>
      <w:r>
        <w:rPr>
          <w:rFonts w:ascii="Simplified Arabic" w:hAnsi="Simplified Arabic" w:cs="Simplified Arabic"/>
          <w:color w:val="222222"/>
          <w:sz w:val="28"/>
          <w:szCs w:val="28"/>
          <w:shd w:val="clear" w:color="auto" w:fill="FFFFFF"/>
          <w:rtl/>
        </w:rPr>
        <w:t xml:space="preserve">(2003) </w:t>
      </w:r>
      <w:r>
        <w:rPr>
          <w:rFonts w:ascii="Simplified Arabic" w:hAnsi="Simplified Arabic" w:cs="Simplified Arabic" w:hint="cs"/>
          <w:color w:val="222222"/>
          <w:sz w:val="28"/>
          <w:szCs w:val="28"/>
          <w:shd w:val="clear" w:color="auto" w:fill="FFFFFF"/>
          <w:rtl/>
        </w:rPr>
        <w:t>معجم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المصطلحات</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التربوية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والنفسية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القاهرة</w:t>
      </w:r>
      <w:r>
        <w:rPr>
          <w:rFonts w:ascii="Simplified Arabic" w:hAnsi="Simplified Arabic" w:cs="Simplified Arabic"/>
          <w:color w:val="222222"/>
          <w:sz w:val="28"/>
          <w:szCs w:val="28"/>
          <w:shd w:val="clear" w:color="auto" w:fill="FFFFFF"/>
          <w:rtl/>
        </w:rPr>
        <w:t xml:space="preserve"> : </w:t>
      </w:r>
      <w:r>
        <w:rPr>
          <w:rFonts w:ascii="Simplified Arabic" w:hAnsi="Simplified Arabic" w:cs="Simplified Arabic" w:hint="cs"/>
          <w:color w:val="222222"/>
          <w:sz w:val="28"/>
          <w:szCs w:val="28"/>
          <w:shd w:val="clear" w:color="auto" w:fill="FFFFFF"/>
          <w:rtl/>
        </w:rPr>
        <w:t>الدار</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المصرية</w:t>
      </w:r>
      <w:r>
        <w:rPr>
          <w:rFonts w:ascii="Simplified Arabic" w:hAnsi="Simplified Arabic" w:cs="Simplified Arabic"/>
          <w:color w:val="222222"/>
          <w:sz w:val="28"/>
          <w:szCs w:val="28"/>
          <w:shd w:val="clear" w:color="auto" w:fill="FFFFFF"/>
          <w:rtl/>
        </w:rPr>
        <w:t xml:space="preserve"> .</w:t>
      </w:r>
    </w:p>
    <w:p>
      <w:pPr>
        <w:pStyle w:val="ListParagraph"/>
        <w:numPr>
          <w:ilvl w:val="0"/>
          <w:numId w:val="38"/>
        </w:numPr>
        <w:jc w:val="both"/>
        <w:rPr>
          <w:rFonts w:ascii="Simplified Arabic" w:hAnsi="Simplified Arabic" w:cs="Simplified Arabic"/>
          <w:color w:val="222222"/>
          <w:sz w:val="28"/>
          <w:szCs w:val="28"/>
          <w:shd w:val="clear" w:color="auto" w:fill="FFFFFF"/>
        </w:rPr>
      </w:pPr>
      <w:r>
        <w:rPr>
          <w:rFonts w:ascii="Simplified Arabic" w:hAnsi="Simplified Arabic" w:cs="Simplified Arabic"/>
          <w:color w:val="222222"/>
          <w:sz w:val="28"/>
          <w:szCs w:val="28"/>
          <w:shd w:val="clear" w:color="auto" w:fill="FFFFFF"/>
          <w:rtl/>
        </w:rPr>
        <w:t>عبيسة ،نورية حسن منصور(2016). أساليب التعلم مفهومها وأبعادها والعوامل المشكلة لها حسب نموذج كولب للتعلم الخبراتى ، مجلة وادى النيل للدراسات والبحوث الأنسانية والإجتماعية والتربوية،ع10ص221- 260</w:t>
      </w:r>
    </w:p>
    <w:p>
      <w:pPr>
        <w:pStyle w:val="ListParagraph"/>
        <w:numPr>
          <w:ilvl w:val="0"/>
          <w:numId w:val="38"/>
        </w:numPr>
        <w:spacing w:before="120" w:after="120"/>
        <w:jc w:val="both"/>
        <w:rPr>
          <w:rFonts w:ascii="Simplified Arabic" w:hAnsi="Simplified Arabic" w:cs="Simplified Arabic"/>
          <w:sz w:val="28"/>
          <w:szCs w:val="28"/>
          <w:shd w:val="clear" w:color="auto" w:fill="FFFFFF"/>
          <w:rtl/>
          <w:lang w:bidi="ar-EG"/>
        </w:rPr>
      </w:pPr>
      <w:r>
        <w:rPr>
          <w:rFonts w:ascii="Simplified Arabic" w:hAnsi="Simplified Arabic" w:cs="Simplified Arabic" w:hint="cs"/>
          <w:sz w:val="28"/>
          <w:szCs w:val="28"/>
          <w:shd w:val="clear" w:color="auto" w:fill="FFFFFF"/>
          <w:rtl/>
          <w:lang w:bidi="ar-EG"/>
        </w:rPr>
        <w:t>عليان،سلمان،القاسم،عالية،سنداوي،خالد،زيدان،رائد(2009).الإشراف التربوي بين النظرية والتطبيق، عمان:دار زهران للنشر والتوزيع.</w:t>
      </w:r>
    </w:p>
    <w:p>
      <w:pPr>
        <w:pStyle w:val="ListParagraph"/>
        <w:numPr>
          <w:ilvl w:val="0"/>
          <w:numId w:val="38"/>
        </w:numPr>
        <w:spacing w:before="120" w:after="120"/>
        <w:jc w:val="both"/>
        <w:rPr>
          <w:rFonts w:ascii="Simplified Arabic" w:hAnsi="Simplified Arabic" w:cs="Simplified Arabic"/>
          <w:sz w:val="28"/>
          <w:szCs w:val="28"/>
          <w:shd w:val="clear" w:color="auto" w:fill="FFFFFF"/>
          <w:rtl/>
          <w:lang w:bidi="ar-EG"/>
        </w:rPr>
      </w:pPr>
      <w:r>
        <w:rPr>
          <w:rFonts w:ascii="Simplified Arabic" w:hAnsi="Simplified Arabic" w:cs="Simplified Arabic"/>
          <w:sz w:val="28"/>
          <w:szCs w:val="28"/>
          <w:shd w:val="clear" w:color="auto" w:fill="FFFFFF"/>
          <w:rtl/>
          <w:lang w:bidi="ar-EG"/>
        </w:rPr>
        <w:t xml:space="preserve">غريب،ولاء أحمد(2014).أثر </w:t>
      </w:r>
      <w:r>
        <w:rPr>
          <w:rFonts w:ascii="Simplified Arabic" w:hAnsi="Simplified Arabic" w:cs="Simplified Arabic" w:hint="cs"/>
          <w:sz w:val="28"/>
          <w:szCs w:val="28"/>
          <w:shd w:val="clear" w:color="auto" w:fill="FFFFFF"/>
          <w:rtl/>
          <w:lang w:bidi="ar-EG"/>
        </w:rPr>
        <w:t>استخدام</w:t>
      </w:r>
      <w:r>
        <w:rPr>
          <w:rFonts w:ascii="Simplified Arabic" w:hAnsi="Simplified Arabic" w:cs="Simplified Arabic"/>
          <w:sz w:val="28"/>
          <w:szCs w:val="28"/>
          <w:shd w:val="clear" w:color="auto" w:fill="FFFFFF"/>
          <w:rtl/>
          <w:lang w:bidi="ar-EG"/>
        </w:rPr>
        <w:t xml:space="preserve"> الخرائط الذهنية في تنمية التفكير </w:t>
      </w:r>
      <w:r>
        <w:rPr>
          <w:rFonts w:ascii="Simplified Arabic" w:hAnsi="Simplified Arabic" w:cs="Simplified Arabic" w:hint="cs"/>
          <w:sz w:val="28"/>
          <w:szCs w:val="28"/>
          <w:shd w:val="clear" w:color="auto" w:fill="FFFFFF"/>
          <w:rtl/>
          <w:lang w:bidi="ar-EG"/>
        </w:rPr>
        <w:t>التأملي</w:t>
      </w:r>
      <w:r>
        <w:rPr>
          <w:rFonts w:ascii="Simplified Arabic" w:hAnsi="Simplified Arabic" w:cs="Simplified Arabic"/>
          <w:sz w:val="28"/>
          <w:szCs w:val="28"/>
          <w:shd w:val="clear" w:color="auto" w:fill="FFFFFF"/>
          <w:rtl/>
          <w:lang w:bidi="ar-EG"/>
        </w:rPr>
        <w:t xml:space="preserve"> وعلاقته بالتحصيل في مادة الفلسفة بالمرحلة الثانوية ، مجلة دراسات عربية في التربية وعلم النفس،ع51: 116-158.</w:t>
      </w:r>
    </w:p>
    <w:p>
      <w:pPr>
        <w:pStyle w:val="ListParagraph"/>
        <w:numPr>
          <w:ilvl w:val="0"/>
          <w:numId w:val="38"/>
        </w:num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كيشار،أحمد عبد الهادي(2022).فعالية برنامج تدريبي قائم على نظرية التعلم الخبراتي في التفكير الإستراتيجي لدى طلاب الجامعة ،مجلة البحث العلمي في التربية ،جامعة عين شمس،ع23: 102-138.</w:t>
      </w:r>
    </w:p>
    <w:p>
      <w:pPr>
        <w:pStyle w:val="ListParagraph"/>
        <w:numPr>
          <w:ilvl w:val="0"/>
          <w:numId w:val="38"/>
        </w:num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لطفى،إيمان محمد عبد العال (2020) فاعلية برنامج قائم على التعلم الخبراتى لتنمية مهارات تنفيذ التدريس والتفكير الإيجابى لدى الطالبات المعلمات  بكلية الإقتصاد المنزلى ، مجلة كلية التربية ، جامعة المنوفية ع2: 2- 69</w:t>
      </w:r>
    </w:p>
    <w:p>
      <w:pPr>
        <w:pStyle w:val="ListParagraph"/>
        <w:numPr>
          <w:ilvl w:val="0"/>
          <w:numId w:val="38"/>
        </w:numPr>
        <w:jc w:val="both"/>
        <w:rPr>
          <w:rFonts w:ascii="Simplified Arabic" w:hAnsi="Simplified Arabic" w:cs="Simplified Arabic"/>
          <w:color w:val="222222"/>
          <w:sz w:val="28"/>
          <w:szCs w:val="28"/>
          <w:shd w:val="clear" w:color="auto" w:fill="FFFFFF"/>
          <w:rtl/>
        </w:rPr>
      </w:pPr>
      <w:r>
        <w:rPr>
          <w:rFonts w:ascii="Simplified Arabic" w:hAnsi="Simplified Arabic" w:cs="Simplified Arabic" w:hint="cs"/>
          <w:color w:val="222222"/>
          <w:sz w:val="28"/>
          <w:szCs w:val="28"/>
          <w:shd w:val="clear" w:color="auto" w:fill="FFFFFF"/>
          <w:rtl/>
        </w:rPr>
        <w:t>اللقانى،أحمد</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حسين؛الجمل،</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على</w:t>
      </w:r>
      <w:r>
        <w:rPr>
          <w:rFonts w:ascii="Simplified Arabic" w:hAnsi="Simplified Arabic" w:cs="Simplified Arabic"/>
          <w:color w:val="222222"/>
          <w:sz w:val="28"/>
          <w:szCs w:val="28"/>
          <w:shd w:val="clear" w:color="auto" w:fill="FFFFFF"/>
          <w:rtl/>
        </w:rPr>
        <w:t>(2003).</w:t>
      </w:r>
      <w:r>
        <w:rPr>
          <w:rFonts w:ascii="Simplified Arabic" w:hAnsi="Simplified Arabic" w:cs="Simplified Arabic" w:hint="cs"/>
          <w:color w:val="222222"/>
          <w:sz w:val="28"/>
          <w:szCs w:val="28"/>
          <w:shd w:val="clear" w:color="auto" w:fill="FFFFFF"/>
          <w:rtl/>
        </w:rPr>
        <w:t>معجم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المصطلحات</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التربوية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المعرفية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فى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المناهج</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وطرق</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التدريس،ط</w:t>
      </w:r>
      <w:r>
        <w:rPr>
          <w:rFonts w:ascii="Simplified Arabic" w:hAnsi="Simplified Arabic" w:cs="Simplified Arabic"/>
          <w:color w:val="222222"/>
          <w:sz w:val="28"/>
          <w:szCs w:val="28"/>
          <w:shd w:val="clear" w:color="auto" w:fill="FFFFFF"/>
          <w:rtl/>
        </w:rPr>
        <w:t xml:space="preserve"> 2: </w:t>
      </w:r>
      <w:r>
        <w:rPr>
          <w:rFonts w:ascii="Simplified Arabic" w:hAnsi="Simplified Arabic" w:cs="Simplified Arabic" w:hint="cs"/>
          <w:color w:val="222222"/>
          <w:sz w:val="28"/>
          <w:szCs w:val="28"/>
          <w:shd w:val="clear" w:color="auto" w:fill="FFFFFF"/>
          <w:rtl/>
        </w:rPr>
        <w:t>القاهرة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عالم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الكتب</w:t>
      </w:r>
    </w:p>
    <w:p>
      <w:pPr>
        <w:pStyle w:val="ListParagraph"/>
        <w:numPr>
          <w:ilvl w:val="0"/>
          <w:numId w:val="38"/>
        </w:numPr>
        <w:jc w:val="both"/>
        <w:rPr>
          <w:rFonts w:ascii="Simplified Arabic" w:hAnsi="Simplified Arabic" w:cs="Simplified Arabic"/>
          <w:color w:val="222222"/>
          <w:sz w:val="28"/>
          <w:szCs w:val="28"/>
          <w:shd w:val="clear" w:color="auto" w:fill="FFFFFF"/>
          <w:rtl/>
        </w:rPr>
      </w:pPr>
      <w:r>
        <w:rPr>
          <w:rFonts w:ascii="Simplified Arabic" w:hAnsi="Simplified Arabic" w:cs="Simplified Arabic" w:hint="cs"/>
          <w:color w:val="222222"/>
          <w:sz w:val="28"/>
          <w:szCs w:val="28"/>
          <w:shd w:val="clear" w:color="auto" w:fill="FFFFFF"/>
          <w:rtl/>
        </w:rPr>
        <w:t>متولى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،إيناس</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عادل</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حجازى</w:t>
      </w:r>
      <w:r>
        <w:rPr>
          <w:rFonts w:ascii="Simplified Arabic" w:hAnsi="Simplified Arabic" w:cs="Simplified Arabic"/>
          <w:color w:val="222222"/>
          <w:sz w:val="28"/>
          <w:szCs w:val="28"/>
          <w:shd w:val="clear" w:color="auto" w:fill="FFFFFF"/>
          <w:rtl/>
        </w:rPr>
        <w:t>(2019).</w:t>
      </w:r>
      <w:r>
        <w:rPr>
          <w:rFonts w:ascii="Simplified Arabic" w:hAnsi="Simplified Arabic" w:cs="Simplified Arabic" w:hint="cs"/>
          <w:color w:val="222222"/>
          <w:sz w:val="28"/>
          <w:szCs w:val="28"/>
          <w:shd w:val="clear" w:color="auto" w:fill="FFFFFF"/>
          <w:rtl/>
        </w:rPr>
        <w:t>أثر</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إستراتيجية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التعلم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القائم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على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المشكلة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في</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تدريس</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الفلسفة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على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تنمية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التفكير</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الناقد</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والاتجاه</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نحو</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المادة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لدى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طلاب</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الصف</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الثانى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الثانوى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رسالة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ماجستير</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غير</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منشورة،كلية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التربية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جامعة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بنها</w:t>
      </w:r>
    </w:p>
    <w:p>
      <w:pPr>
        <w:pStyle w:val="ListParagraph"/>
        <w:numPr>
          <w:ilvl w:val="0"/>
          <w:numId w:val="38"/>
        </w:num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محمد,خلف الله(2021).فاعلية التعلم الخبراتي في تدريس الرياضيات لتنمية عمق المعرفة الرياضية وتحسين اليقظة العقلية لدى تلاميذ المرحلة الابتدائية ,مجلة الجمعية المصرية لتربويات الرياضيات,ع4</w:t>
      </w:r>
    </w:p>
    <w:p>
      <w:pPr>
        <w:pStyle w:val="ListParagraph"/>
        <w:numPr>
          <w:ilvl w:val="0"/>
          <w:numId w:val="38"/>
        </w:numPr>
        <w:jc w:val="both"/>
        <w:rPr>
          <w:rFonts w:ascii="Simplified Arabic" w:hAnsi="Simplified Arabic" w:cs="Simplified Arabic"/>
          <w:color w:val="222222"/>
          <w:sz w:val="28"/>
          <w:szCs w:val="28"/>
          <w:shd w:val="clear" w:color="auto" w:fill="FFFFFF"/>
        </w:rPr>
      </w:pPr>
      <w:r>
        <w:rPr>
          <w:rFonts w:ascii="Simplified Arabic" w:hAnsi="Simplified Arabic" w:cs="Simplified Arabic" w:hint="cs"/>
          <w:color w:val="222222"/>
          <w:sz w:val="28"/>
          <w:szCs w:val="28"/>
          <w:shd w:val="clear" w:color="auto" w:fill="FFFFFF"/>
          <w:rtl/>
        </w:rPr>
        <w:t>محمد،</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هناء</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عبدالله</w:t>
      </w:r>
      <w:r>
        <w:rPr>
          <w:rFonts w:ascii="Simplified Arabic" w:hAnsi="Simplified Arabic" w:cs="Simplified Arabic"/>
          <w:color w:val="222222"/>
          <w:sz w:val="28"/>
          <w:szCs w:val="28"/>
          <w:shd w:val="clear" w:color="auto" w:fill="FFFFFF"/>
          <w:rtl/>
        </w:rPr>
        <w:t xml:space="preserve">(2006). </w:t>
      </w:r>
      <w:r>
        <w:rPr>
          <w:rFonts w:ascii="Simplified Arabic" w:hAnsi="Simplified Arabic" w:cs="Simplified Arabic" w:hint="cs"/>
          <w:color w:val="222222"/>
          <w:sz w:val="28"/>
          <w:szCs w:val="28"/>
          <w:shd w:val="clear" w:color="auto" w:fill="FFFFFF"/>
          <w:rtl/>
        </w:rPr>
        <w:t>فاعلية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دورة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التعلم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فوق</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المعرفية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فى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تنمية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مهارات</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ما</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وراء</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المعرفة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والتحصيل</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الدراسى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والإتجاه</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نحو</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مادة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الفلسفة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لدى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طلاب</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الصف</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الأول</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الثانوى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التربية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المعاصرة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w:t>
      </w:r>
      <w:r>
        <w:rPr>
          <w:rFonts w:ascii="Simplified Arabic" w:hAnsi="Simplified Arabic" w:cs="Simplified Arabic"/>
          <w:color w:val="222222"/>
          <w:sz w:val="28"/>
          <w:szCs w:val="28"/>
          <w:shd w:val="clear" w:color="auto" w:fill="FFFFFF"/>
          <w:rtl/>
        </w:rPr>
        <w:t>(74)</w:t>
      </w:r>
      <w:r>
        <w:rPr>
          <w:rFonts w:ascii="Simplified Arabic" w:hAnsi="Simplified Arabic" w:cs="Simplified Arabic" w:hint="cs"/>
          <w:color w:val="222222"/>
          <w:sz w:val="28"/>
          <w:szCs w:val="28"/>
          <w:shd w:val="clear" w:color="auto" w:fill="FFFFFF"/>
          <w:rtl/>
        </w:rPr>
        <w:t>،</w:t>
      </w:r>
      <w:r>
        <w:rPr>
          <w:rFonts w:ascii="Simplified Arabic" w:hAnsi="Simplified Arabic" w:cs="Simplified Arabic"/>
          <w:color w:val="222222"/>
          <w:sz w:val="28"/>
          <w:szCs w:val="28"/>
          <w:shd w:val="clear" w:color="auto" w:fill="FFFFFF"/>
          <w:rtl/>
        </w:rPr>
        <w:t>63- 126</w:t>
      </w:r>
    </w:p>
    <w:p>
      <w:pPr>
        <w:pStyle w:val="ListParagraph"/>
        <w:numPr>
          <w:ilvl w:val="0"/>
          <w:numId w:val="38"/>
        </w:numPr>
        <w:jc w:val="both"/>
        <w:rPr>
          <w:rFonts w:ascii="Simplified Arabic" w:hAnsi="Simplified Arabic" w:cs="Simplified Arabic"/>
          <w:color w:val="222222"/>
          <w:sz w:val="28"/>
          <w:szCs w:val="28"/>
          <w:shd w:val="clear" w:color="auto" w:fill="FFFFFF"/>
        </w:rPr>
      </w:pPr>
      <w:r>
        <w:rPr>
          <w:rFonts w:ascii="Simplified Arabic" w:hAnsi="Simplified Arabic" w:cs="Simplified Arabic" w:hint="cs"/>
          <w:color w:val="222222"/>
          <w:sz w:val="28"/>
          <w:szCs w:val="28"/>
          <w:shd w:val="clear" w:color="auto" w:fill="FFFFFF"/>
          <w:rtl/>
        </w:rPr>
        <w:t>يوسف،عبدالله</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إبراهيم</w:t>
      </w:r>
      <w:r>
        <w:rPr>
          <w:rFonts w:ascii="Simplified Arabic" w:hAnsi="Simplified Arabic" w:cs="Simplified Arabic"/>
          <w:color w:val="222222"/>
          <w:sz w:val="28"/>
          <w:szCs w:val="28"/>
          <w:shd w:val="clear" w:color="auto" w:fill="FFFFFF"/>
          <w:rtl/>
        </w:rPr>
        <w:t xml:space="preserve"> (2014) </w:t>
      </w:r>
      <w:r>
        <w:rPr>
          <w:rFonts w:ascii="Simplified Arabic" w:hAnsi="Simplified Arabic" w:cs="Simplified Arabic" w:hint="cs"/>
          <w:color w:val="222222"/>
          <w:sz w:val="28"/>
          <w:szCs w:val="28"/>
          <w:shd w:val="clear" w:color="auto" w:fill="FFFFFF"/>
          <w:rtl/>
        </w:rPr>
        <w:t>أثر</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استخدام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نظرية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التعلم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المستند</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إلى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الدماغ</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في</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تدريس</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الفلسفة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على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تنمية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بعض</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عادات</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العقل</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والاتجاه</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نحو</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دراسة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المادة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لدى</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طلاب</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المرحلة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الثانوية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المتفوقين</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دراسياً،مجلة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دراسات</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عربية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في</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التربية</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وعلم</w:t>
      </w:r>
      <w:r>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النفس،ع</w:t>
      </w:r>
      <w:r>
        <w:rPr>
          <w:rFonts w:ascii="Simplified Arabic" w:hAnsi="Simplified Arabic" w:cs="Simplified Arabic"/>
          <w:color w:val="222222"/>
          <w:sz w:val="28"/>
          <w:szCs w:val="28"/>
          <w:shd w:val="clear" w:color="auto" w:fill="FFFFFF"/>
          <w:rtl/>
        </w:rPr>
        <w:t>53: 111-175</w:t>
      </w:r>
      <w:r>
        <w:rPr>
          <w:rFonts w:ascii="Simplified Arabic" w:hAnsi="Simplified Arabic" w:cs="Simplified Arabic"/>
          <w:color w:val="222222"/>
          <w:sz w:val="28"/>
          <w:szCs w:val="28"/>
          <w:shd w:val="clear" w:color="auto" w:fill="FFFFFF"/>
        </w:rPr>
        <w:t>\</w:t>
      </w:r>
    </w:p>
    <w:p>
      <w:pPr>
        <w:bidi w:val="0"/>
        <w:spacing w:after="0" w:line="360" w:lineRule="auto"/>
        <w:ind w:left="-76" w:right="46"/>
        <w:contextualSpacing/>
        <w:jc w:val="both"/>
        <w:rPr>
          <w:rFonts w:asciiTheme="majorBidi" w:eastAsia="Times New Roman" w:hAnsiTheme="majorBidi" w:cstheme="majorBidi"/>
          <w:sz w:val="28"/>
          <w:szCs w:val="28"/>
          <w:lang w:bidi="ar-EG"/>
        </w:rPr>
      </w:pPr>
    </w:p>
    <w:p>
      <w:pPr>
        <w:bidi w:val="0"/>
        <w:spacing w:after="0" w:line="360" w:lineRule="auto"/>
        <w:ind w:left="709" w:right="46"/>
        <w:contextualSpacing/>
        <w:jc w:val="both"/>
        <w:rPr>
          <w:rFonts w:asciiTheme="majorBidi" w:eastAsia="Times New Roman" w:hAnsiTheme="majorBidi" w:cstheme="majorBidi"/>
          <w:sz w:val="28"/>
          <w:szCs w:val="28"/>
          <w:lang w:bidi="ar-EG"/>
        </w:rPr>
      </w:pPr>
    </w:p>
    <w:p>
      <w:pPr>
        <w:pStyle w:val="ListParagraph"/>
        <w:bidi w:val="0"/>
        <w:ind w:right="46"/>
        <w:jc w:val="both"/>
        <w:rPr>
          <w:rFonts w:asciiTheme="majorBidi" w:eastAsia="Times New Roman" w:hAnsiTheme="majorBidi" w:cstheme="majorBidi"/>
          <w:sz w:val="28"/>
          <w:szCs w:val="28"/>
          <w:rtl/>
          <w:lang w:bidi="ar-EG"/>
        </w:rPr>
      </w:pPr>
    </w:p>
    <w:p>
      <w:pPr>
        <w:pStyle w:val="ListParagraph"/>
        <w:numPr>
          <w:ilvl w:val="0"/>
          <w:numId w:val="38"/>
        </w:numPr>
        <w:autoSpaceDE w:val="0"/>
        <w:autoSpaceDN w:val="0"/>
        <w:bidi w:val="0"/>
        <w:adjustRightInd w:val="0"/>
        <w:spacing w:before="120" w:after="120" w:line="240" w:lineRule="auto"/>
        <w:ind w:right="46"/>
        <w:jc w:val="both"/>
        <w:rPr>
          <w:rFonts w:asciiTheme="majorBidi" w:eastAsia="Times New Roman" w:hAnsiTheme="majorBidi" w:cstheme="majorBidi"/>
          <w:sz w:val="28"/>
          <w:szCs w:val="28"/>
          <w:lang w:bidi="ar-EG"/>
        </w:rPr>
      </w:pPr>
      <w:r>
        <w:rPr>
          <w:rFonts w:ascii="Arial" w:hAnsi="Arial"/>
          <w:color w:val="222222"/>
          <w:sz w:val="20"/>
          <w:szCs w:val="20"/>
          <w:shd w:val="clear" w:color="auto" w:fill="FFFFFF"/>
        </w:rPr>
        <w:t>.</w:t>
      </w:r>
      <w:r>
        <w:rPr>
          <w:rFonts w:ascii="Arial" w:hAnsi="Arial"/>
          <w:color w:val="222222"/>
          <w:sz w:val="20"/>
          <w:szCs w:val="20"/>
          <w:shd w:val="clear" w:color="auto" w:fill="FFFFFF"/>
          <w:rtl/>
        </w:rPr>
        <w:t>‏</w:t>
      </w:r>
      <w:r>
        <w:rPr>
          <w:rFonts w:asciiTheme="majorBidi" w:eastAsia="Times New Roman" w:hAnsiTheme="majorBidi" w:cstheme="majorBidi"/>
          <w:sz w:val="28"/>
          <w:szCs w:val="28"/>
          <w:lang w:bidi="ar-EG"/>
        </w:rPr>
        <w:t xml:space="preserve"> Dimmitt, N. (2017). The power of project based learning: Experiential education to develop critical thinking skills for university students. In CBU International Conference Proceedings (Vol. 5, pp. 575-579).</w:t>
      </w:r>
      <w:r>
        <w:rPr>
          <w:rFonts w:asciiTheme="majorBidi" w:eastAsia="Times New Roman" w:hAnsiTheme="majorBidi" w:cstheme="majorBidi"/>
          <w:sz w:val="28"/>
          <w:szCs w:val="28"/>
          <w:rtl/>
          <w:lang w:bidi="ar-EG"/>
        </w:rPr>
        <w:t>‏</w:t>
      </w:r>
    </w:p>
    <w:p>
      <w:pPr>
        <w:pStyle w:val="ListParagraph"/>
        <w:numPr>
          <w:ilvl w:val="0"/>
          <w:numId w:val="38"/>
        </w:numPr>
        <w:bidi w:val="0"/>
        <w:ind w:right="46"/>
        <w:jc w:val="both"/>
        <w:rPr>
          <w:rFonts w:asciiTheme="majorBidi" w:eastAsia="Times New Roman" w:hAnsiTheme="majorBidi" w:cstheme="majorBidi"/>
          <w:sz w:val="28"/>
          <w:szCs w:val="28"/>
          <w:rtl/>
          <w:lang w:bidi="ar-EG"/>
        </w:rPr>
      </w:pPr>
      <w:r>
        <w:rPr>
          <w:rFonts w:asciiTheme="majorBidi" w:eastAsia="Times New Roman" w:hAnsiTheme="majorBidi" w:cstheme="majorBidi"/>
          <w:sz w:val="28"/>
          <w:szCs w:val="28"/>
          <w:lang w:bidi="ar-EG"/>
        </w:rPr>
        <w:t>Ba'lousha, I. M., Asqoul, M. A. E., &amp; Abu-shawish, J. I. (2021). Enhancing English Majoring Student’s Speaking Skill’s Teaching Performance through an Experiential Learning-Based Programme. IUG Journal of Educational &amp; Psychological Studies, 29(2).</w:t>
      </w:r>
      <w:r>
        <w:rPr>
          <w:rFonts w:asciiTheme="majorBidi" w:eastAsia="Times New Roman" w:hAnsiTheme="majorBidi" w:cstheme="majorBidi"/>
          <w:sz w:val="28"/>
          <w:szCs w:val="28"/>
          <w:rtl/>
          <w:lang w:bidi="ar-EG"/>
        </w:rPr>
        <w:t>‏</w:t>
      </w:r>
    </w:p>
    <w:p>
      <w:pPr>
        <w:pStyle w:val="ListParagraph"/>
        <w:numPr>
          <w:ilvl w:val="0"/>
          <w:numId w:val="38"/>
        </w:numPr>
        <w:bidi w:val="0"/>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Bartle, E. (2015). Experiential learning: an overview. Institute for teaching and learning innovation. Australia: The university of Queensland.</w:t>
      </w:r>
      <w:r>
        <w:rPr>
          <w:rFonts w:asciiTheme="majorBidi" w:eastAsia="Times New Roman" w:hAnsiTheme="majorBidi" w:cstheme="majorBidi"/>
          <w:sz w:val="28"/>
          <w:szCs w:val="28"/>
          <w:rtl/>
          <w:lang w:bidi="ar-EG"/>
        </w:rPr>
        <w:t>‏</w:t>
      </w:r>
    </w:p>
    <w:p>
      <w:pPr>
        <w:pStyle w:val="ListParagraph"/>
        <w:numPr>
          <w:ilvl w:val="0"/>
          <w:numId w:val="38"/>
        </w:numPr>
        <w:bidi w:val="0"/>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Beard, C., &amp; Wilson, J. P. (2018). Experiential learning: A practical guide for training, coaching and education. Kogan Page Publishers.</w:t>
      </w:r>
      <w:r>
        <w:rPr>
          <w:rFonts w:asciiTheme="majorBidi" w:eastAsia="Times New Roman" w:hAnsiTheme="majorBidi" w:cstheme="majorBidi"/>
          <w:sz w:val="28"/>
          <w:szCs w:val="28"/>
          <w:rtl/>
          <w:lang w:bidi="ar-EG"/>
        </w:rPr>
        <w:t>‏</w:t>
      </w:r>
    </w:p>
    <w:p>
      <w:pPr>
        <w:pStyle w:val="ListParagraph"/>
        <w:numPr>
          <w:ilvl w:val="0"/>
          <w:numId w:val="38"/>
        </w:numPr>
        <w:bidi w:val="0"/>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Beard, C., &amp; Wilson, J. P. (2018). Experiential learning: A practical guide for training, coaching and education. Kogan Page Publishers.</w:t>
      </w:r>
      <w:r>
        <w:rPr>
          <w:rFonts w:asciiTheme="majorBidi" w:eastAsia="Times New Roman" w:hAnsiTheme="majorBidi" w:cstheme="majorBidi"/>
          <w:sz w:val="28"/>
          <w:szCs w:val="28"/>
          <w:rtl/>
          <w:lang w:bidi="ar-EG"/>
        </w:rPr>
        <w:t>‏</w:t>
      </w:r>
    </w:p>
    <w:p>
      <w:pPr>
        <w:pStyle w:val="ListParagraph"/>
        <w:numPr>
          <w:ilvl w:val="0"/>
          <w:numId w:val="38"/>
        </w:numPr>
        <w:bidi w:val="0"/>
        <w:spacing w:before="120" w:after="120"/>
        <w:ind w:right="46"/>
        <w:jc w:val="both"/>
        <w:rPr>
          <w:rFonts w:asciiTheme="majorBidi" w:eastAsia="Times New Roman" w:hAnsiTheme="majorBidi" w:cstheme="majorBidi"/>
          <w:sz w:val="28"/>
          <w:szCs w:val="28"/>
          <w:rtl/>
          <w:lang w:bidi="ar-EG"/>
        </w:rPr>
      </w:pPr>
      <w:r>
        <w:rPr>
          <w:rFonts w:asciiTheme="majorBidi" w:eastAsia="Times New Roman" w:hAnsiTheme="majorBidi" w:cstheme="majorBidi"/>
          <w:sz w:val="28"/>
          <w:szCs w:val="28"/>
          <w:lang w:bidi="ar-EG"/>
        </w:rPr>
        <w:t>Coker, J. S., Heiser, E., Taylor, L., &amp; Book, C. (2017). Impacts of experiential learning depth and breadth on student outcomes. Journal of Experiential Education, 40(1), 5-23.</w:t>
      </w:r>
      <w:r>
        <w:rPr>
          <w:rFonts w:asciiTheme="majorBidi" w:eastAsia="Times New Roman" w:hAnsiTheme="majorBidi" w:cstheme="majorBidi"/>
          <w:sz w:val="28"/>
          <w:szCs w:val="28"/>
          <w:rtl/>
          <w:lang w:bidi="ar-EG"/>
        </w:rPr>
        <w:t>‏</w:t>
      </w:r>
    </w:p>
    <w:p>
      <w:pPr>
        <w:pStyle w:val="ListParagraph"/>
        <w:numPr>
          <w:ilvl w:val="0"/>
          <w:numId w:val="38"/>
        </w:numPr>
        <w:bidi w:val="0"/>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lastRenderedPageBreak/>
        <w:t>Demirel, M., &amp; Dağyar, M. (2016). Effects of problem-based learning on attitude: A meta-analysis study. Eurasia Journal of Mathematics, Science and Technology Education, 12(8), 2115-2137.</w:t>
      </w:r>
    </w:p>
    <w:p>
      <w:pPr>
        <w:pStyle w:val="ListParagraph"/>
        <w:numPr>
          <w:ilvl w:val="0"/>
          <w:numId w:val="38"/>
        </w:numPr>
        <w:bidi w:val="0"/>
        <w:spacing w:after="0" w:line="360" w:lineRule="auto"/>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Gundala, R. R., Singh, M., &amp; Cochran, T. K. (2018). Perceptions of integrated experiential learning of graduate marketing students. Journal of the Scholarship of Teaching and Learning, 18(2), 74-89.</w:t>
      </w:r>
      <w:r>
        <w:rPr>
          <w:rFonts w:asciiTheme="majorBidi" w:eastAsia="Times New Roman" w:hAnsiTheme="majorBidi" w:cstheme="majorBidi"/>
          <w:sz w:val="28"/>
          <w:szCs w:val="28"/>
          <w:rtl/>
          <w:lang w:bidi="ar-EG"/>
        </w:rPr>
        <w:t>‏</w:t>
      </w:r>
    </w:p>
    <w:p>
      <w:pPr>
        <w:pStyle w:val="ListParagraph"/>
        <w:numPr>
          <w:ilvl w:val="0"/>
          <w:numId w:val="38"/>
        </w:numPr>
        <w:bidi w:val="0"/>
        <w:spacing w:after="0" w:line="360" w:lineRule="auto"/>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Healey, M., &amp; Jenkins, A. (2000). Kolb's experiential learning theory and its application in geography in higher education. Journal of geography, 99(5), 185-195.</w:t>
      </w:r>
      <w:r>
        <w:rPr>
          <w:rFonts w:asciiTheme="majorBidi" w:eastAsia="Times New Roman" w:hAnsiTheme="majorBidi" w:cstheme="majorBidi"/>
          <w:sz w:val="28"/>
          <w:szCs w:val="28"/>
          <w:rtl/>
          <w:lang w:bidi="ar-EG"/>
        </w:rPr>
        <w:t>‏</w:t>
      </w:r>
    </w:p>
    <w:p>
      <w:pPr>
        <w:pStyle w:val="ListParagraph"/>
        <w:numPr>
          <w:ilvl w:val="0"/>
          <w:numId w:val="38"/>
        </w:numPr>
        <w:bidi w:val="0"/>
        <w:spacing w:after="0" w:line="360" w:lineRule="auto"/>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Kolb, A. Y., &amp; Kolb, D. A. (2005). Learning styles and learning spaces: Enhancing experiential learning in higher education. Academy of management learning &amp; education, 4(2), 193-212.</w:t>
      </w:r>
      <w:r>
        <w:rPr>
          <w:rFonts w:asciiTheme="majorBidi" w:eastAsia="Times New Roman" w:hAnsiTheme="majorBidi" w:cstheme="majorBidi"/>
          <w:sz w:val="28"/>
          <w:szCs w:val="28"/>
          <w:rtl/>
          <w:lang w:bidi="ar-EG"/>
        </w:rPr>
        <w:t>‏</w:t>
      </w:r>
    </w:p>
    <w:p>
      <w:pPr>
        <w:pStyle w:val="ListParagraph"/>
        <w:numPr>
          <w:ilvl w:val="0"/>
          <w:numId w:val="38"/>
        </w:numPr>
        <w:bidi w:val="0"/>
        <w:spacing w:after="0" w:line="360" w:lineRule="auto"/>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Kolb, A. Y., &amp; Kolb, D. A. (2006). Learning styles and learning spaces: A review of the multidisciplinary application of experiential learning theory in higher education. In Learning styles and learning: A key to meeting the accountability demands in education</w:t>
      </w:r>
    </w:p>
    <w:p>
      <w:pPr>
        <w:pStyle w:val="ListParagraph"/>
        <w:numPr>
          <w:ilvl w:val="0"/>
          <w:numId w:val="38"/>
        </w:numPr>
        <w:bidi w:val="0"/>
        <w:spacing w:after="0" w:line="360" w:lineRule="auto"/>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Kolb, A. Y., &amp; Kolb, D. A. (2009). Experiential learning theory: A dynamic, holistic approach to management learning, education and development. The SAGE handbook of management learning, education and development, 7, 42.</w:t>
      </w:r>
      <w:r>
        <w:rPr>
          <w:rFonts w:asciiTheme="majorBidi" w:eastAsia="Times New Roman" w:hAnsiTheme="majorBidi" w:cstheme="majorBidi"/>
          <w:sz w:val="28"/>
          <w:szCs w:val="28"/>
          <w:rtl/>
          <w:lang w:bidi="ar-EG"/>
        </w:rPr>
        <w:t>‏</w:t>
      </w:r>
    </w:p>
    <w:p>
      <w:pPr>
        <w:pStyle w:val="ListParagraph"/>
        <w:numPr>
          <w:ilvl w:val="0"/>
          <w:numId w:val="38"/>
        </w:numPr>
        <w:bidi w:val="0"/>
        <w:spacing w:after="0" w:line="360" w:lineRule="auto"/>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rtl/>
          <w:lang w:bidi="ar-EG"/>
        </w:rPr>
        <w:t>‏</w:t>
      </w:r>
      <w:r>
        <w:rPr>
          <w:rFonts w:asciiTheme="majorBidi" w:eastAsia="Times New Roman" w:hAnsiTheme="majorBidi" w:cstheme="majorBidi"/>
          <w:sz w:val="28"/>
          <w:szCs w:val="28"/>
          <w:lang w:bidi="ar-EG"/>
        </w:rPr>
        <w:t>Kolb, D. A. (1984). Experiential learning: Experience as the source of learning and development. FT press</w:t>
      </w:r>
    </w:p>
    <w:p>
      <w:pPr>
        <w:pStyle w:val="ListParagraph"/>
        <w:numPr>
          <w:ilvl w:val="0"/>
          <w:numId w:val="38"/>
        </w:numPr>
        <w:bidi w:val="0"/>
        <w:ind w:right="46"/>
        <w:jc w:val="both"/>
        <w:rPr>
          <w:rFonts w:asciiTheme="majorBidi" w:eastAsia="Times New Roman" w:hAnsiTheme="majorBidi" w:cstheme="majorBidi"/>
          <w:sz w:val="28"/>
          <w:szCs w:val="28"/>
          <w:rtl/>
          <w:lang w:bidi="ar-EG"/>
        </w:rPr>
      </w:pPr>
      <w:r>
        <w:rPr>
          <w:rFonts w:asciiTheme="majorBidi" w:eastAsia="Times New Roman" w:hAnsiTheme="majorBidi" w:cstheme="majorBidi"/>
          <w:sz w:val="28"/>
          <w:szCs w:val="28"/>
          <w:lang w:bidi="ar-EG"/>
        </w:rPr>
        <w:t>Lam, B. H., &amp; Chan, H. L. (2013). Experiential Learning. The Hong Kong Institute of Education All rights reserved, 1-4.</w:t>
      </w:r>
      <w:r>
        <w:rPr>
          <w:rFonts w:asciiTheme="majorBidi" w:eastAsia="Times New Roman" w:hAnsiTheme="majorBidi" w:cstheme="majorBidi"/>
          <w:sz w:val="28"/>
          <w:szCs w:val="28"/>
          <w:rtl/>
          <w:lang w:bidi="ar-EG"/>
        </w:rPr>
        <w:t>‏</w:t>
      </w:r>
    </w:p>
    <w:p>
      <w:pPr>
        <w:pStyle w:val="ListParagraph"/>
        <w:numPr>
          <w:ilvl w:val="0"/>
          <w:numId w:val="38"/>
        </w:numPr>
        <w:bidi w:val="0"/>
        <w:spacing w:after="0" w:line="360" w:lineRule="auto"/>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Loo*, R. (2004). Kolb's learning styles and learning preferences: is there a linkage?. Educational Psychology, 24(1), 99-108.</w:t>
      </w:r>
      <w:r>
        <w:rPr>
          <w:rFonts w:asciiTheme="majorBidi" w:eastAsia="Times New Roman" w:hAnsiTheme="majorBidi" w:cstheme="majorBidi"/>
          <w:sz w:val="28"/>
          <w:szCs w:val="28"/>
          <w:rtl/>
          <w:lang w:bidi="ar-EG"/>
        </w:rPr>
        <w:t>‏</w:t>
      </w:r>
    </w:p>
    <w:p>
      <w:pPr>
        <w:pStyle w:val="ListParagraph"/>
        <w:numPr>
          <w:ilvl w:val="0"/>
          <w:numId w:val="38"/>
        </w:numPr>
        <w:bidi w:val="0"/>
        <w:ind w:right="46"/>
        <w:jc w:val="both"/>
        <w:rPr>
          <w:rFonts w:asciiTheme="majorBidi" w:eastAsia="Times New Roman" w:hAnsiTheme="majorBidi" w:cstheme="majorBidi"/>
          <w:sz w:val="28"/>
          <w:szCs w:val="28"/>
          <w:rtl/>
          <w:lang w:bidi="ar-EG"/>
        </w:rPr>
      </w:pPr>
      <w:r>
        <w:rPr>
          <w:rFonts w:asciiTheme="majorBidi" w:eastAsia="Times New Roman" w:hAnsiTheme="majorBidi" w:cstheme="majorBidi"/>
          <w:sz w:val="28"/>
          <w:szCs w:val="28"/>
          <w:lang w:bidi="ar-EG"/>
        </w:rPr>
        <w:t>McCarthy, M. (2010). Experiential learning theory: From theory to practice. Journal of Business &amp; Economics Research (JBER), 8(5).131-140</w:t>
      </w:r>
    </w:p>
    <w:p>
      <w:pPr>
        <w:pStyle w:val="ListParagraph"/>
        <w:numPr>
          <w:ilvl w:val="0"/>
          <w:numId w:val="38"/>
        </w:numPr>
        <w:bidi w:val="0"/>
        <w:spacing w:after="0" w:line="360" w:lineRule="auto"/>
        <w:ind w:right="46"/>
        <w:jc w:val="both"/>
        <w:rPr>
          <w:rFonts w:asciiTheme="majorBidi" w:eastAsia="Times New Roman" w:hAnsiTheme="majorBidi" w:cstheme="majorBidi"/>
          <w:sz w:val="28"/>
          <w:szCs w:val="28"/>
          <w:rtl/>
          <w:lang w:bidi="ar-EG"/>
        </w:rPr>
      </w:pPr>
      <w:r>
        <w:rPr>
          <w:rFonts w:asciiTheme="majorBidi" w:eastAsia="Times New Roman" w:hAnsiTheme="majorBidi" w:cstheme="majorBidi"/>
          <w:sz w:val="28"/>
          <w:szCs w:val="28"/>
          <w:lang w:bidi="ar-EG"/>
        </w:rPr>
        <w:lastRenderedPageBreak/>
        <w:t>Olvera, G. W., &amp; Walkup, J. R. (2010). Questioning Strategies for Teaching Cognitively Rigorous Curricula. Online Submission.</w:t>
      </w:r>
      <w:r>
        <w:rPr>
          <w:rFonts w:asciiTheme="majorBidi" w:eastAsia="Times New Roman" w:hAnsiTheme="majorBidi" w:cstheme="majorBidi"/>
          <w:sz w:val="28"/>
          <w:szCs w:val="28"/>
          <w:rtl/>
          <w:lang w:bidi="ar-EG"/>
        </w:rPr>
        <w:t>‏</w:t>
      </w:r>
    </w:p>
    <w:p>
      <w:pPr>
        <w:pStyle w:val="ListParagraph"/>
        <w:numPr>
          <w:ilvl w:val="0"/>
          <w:numId w:val="38"/>
        </w:numPr>
        <w:bidi w:val="0"/>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Reshmad'sa, L., &amp; Vijayakumari, S. N. (2017). Effect of Kolb's Experiential Learning Strategy on Enhancing Pedagogical Skills of Pre-Service Teachers of Secondary School Level. Journal on School Educational Technology, 13(2), 1-6.</w:t>
      </w:r>
      <w:r>
        <w:rPr>
          <w:rFonts w:asciiTheme="majorBidi" w:eastAsia="Times New Roman" w:hAnsiTheme="majorBidi" w:cstheme="majorBidi"/>
          <w:sz w:val="28"/>
          <w:szCs w:val="28"/>
          <w:rtl/>
          <w:lang w:bidi="ar-EG"/>
        </w:rPr>
        <w:t>‏</w:t>
      </w:r>
    </w:p>
    <w:p>
      <w:pPr>
        <w:pStyle w:val="ListParagraph"/>
        <w:numPr>
          <w:ilvl w:val="0"/>
          <w:numId w:val="38"/>
        </w:numPr>
        <w:bidi w:val="0"/>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Sarkar, S., Verma, R., &amp; Singh, S. (2022). Faculty and students’ perceptions on experiential learning based anatomy dissection hall sessions for medical undergraduates. Advances in medical education and practice, 543-554.</w:t>
      </w:r>
      <w:r>
        <w:rPr>
          <w:rFonts w:asciiTheme="majorBidi" w:eastAsia="Times New Roman" w:hAnsiTheme="majorBidi" w:cstheme="majorBidi"/>
          <w:sz w:val="28"/>
          <w:szCs w:val="28"/>
          <w:rtl/>
          <w:lang w:bidi="ar-EG"/>
        </w:rPr>
        <w:t>‏</w:t>
      </w:r>
    </w:p>
    <w:p>
      <w:pPr>
        <w:pStyle w:val="ListParagraph"/>
        <w:numPr>
          <w:ilvl w:val="0"/>
          <w:numId w:val="38"/>
        </w:numPr>
        <w:bidi w:val="0"/>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Schenck, J., &amp; Cruickshank, J. (2015). Evolving Kolb: Experiential education in the age of neuroscience. Journal of experiential education, 38(1), 73-95.</w:t>
      </w:r>
      <w:r>
        <w:rPr>
          <w:rFonts w:asciiTheme="majorBidi" w:eastAsia="Times New Roman" w:hAnsiTheme="majorBidi" w:cstheme="majorBidi"/>
          <w:sz w:val="28"/>
          <w:szCs w:val="28"/>
          <w:rtl/>
          <w:lang w:bidi="ar-EG"/>
        </w:rPr>
        <w:t>‏</w:t>
      </w:r>
    </w:p>
    <w:p>
      <w:pPr>
        <w:pStyle w:val="ListParagraph"/>
        <w:numPr>
          <w:ilvl w:val="0"/>
          <w:numId w:val="38"/>
        </w:numPr>
        <w:bidi w:val="0"/>
        <w:ind w:right="46"/>
        <w:jc w:val="both"/>
        <w:rPr>
          <w:rFonts w:asciiTheme="majorBidi" w:eastAsia="Times New Roman" w:hAnsiTheme="majorBidi" w:cstheme="majorBidi"/>
          <w:sz w:val="28"/>
          <w:szCs w:val="28"/>
          <w:rtl/>
          <w:lang w:bidi="ar-EG"/>
        </w:rPr>
      </w:pPr>
      <w:r>
        <w:rPr>
          <w:rFonts w:asciiTheme="majorBidi" w:eastAsia="Times New Roman" w:hAnsiTheme="majorBidi" w:cstheme="majorBidi"/>
          <w:sz w:val="28"/>
          <w:szCs w:val="28"/>
          <w:lang w:bidi="ar-EG"/>
        </w:rPr>
        <w:t>Seaman, J., Brown, M., &amp; Quay, J. (2017). The evolution of experiential learning theory: Tracing lines of research in the JEE. Journal of experiential education, 40(4), NP1-NP21.</w:t>
      </w:r>
    </w:p>
    <w:p>
      <w:pPr>
        <w:pStyle w:val="ListParagraph"/>
        <w:numPr>
          <w:ilvl w:val="0"/>
          <w:numId w:val="38"/>
        </w:numPr>
        <w:bidi w:val="0"/>
        <w:spacing w:after="0"/>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Sharlanova, V. (2004). Experiential learning. Trakia Journal of Sciences, 2(4), 36-39.</w:t>
      </w:r>
      <w:r>
        <w:rPr>
          <w:rFonts w:asciiTheme="majorBidi" w:eastAsia="Times New Roman" w:hAnsiTheme="majorBidi" w:cstheme="majorBidi"/>
          <w:sz w:val="28"/>
          <w:szCs w:val="28"/>
          <w:rtl/>
          <w:lang w:bidi="ar-EG"/>
        </w:rPr>
        <w:t>‏</w:t>
      </w:r>
    </w:p>
    <w:p>
      <w:pPr>
        <w:pStyle w:val="ListParagraph"/>
        <w:numPr>
          <w:ilvl w:val="0"/>
          <w:numId w:val="38"/>
        </w:numPr>
        <w:bidi w:val="0"/>
        <w:ind w:right="46"/>
        <w:jc w:val="both"/>
        <w:rPr>
          <w:rFonts w:asciiTheme="majorBidi" w:eastAsia="Times New Roman" w:hAnsiTheme="majorBidi" w:cstheme="majorBidi"/>
          <w:sz w:val="28"/>
          <w:szCs w:val="28"/>
          <w:lang w:bidi="ar-EG"/>
        </w:rPr>
      </w:pPr>
      <w:r>
        <w:rPr>
          <w:rFonts w:asciiTheme="majorBidi" w:eastAsia="Times New Roman" w:hAnsiTheme="majorBidi" w:cstheme="majorBidi"/>
          <w:sz w:val="28"/>
          <w:szCs w:val="28"/>
          <w:lang w:bidi="ar-EG"/>
        </w:rPr>
        <w:t>Sudria, I. B. N., Redhana, I. W., Kirna, I., &amp; Aini, D. (2018). Effect of Kolb's Learning Styles under Inductive Guided-Inquiry Learning on Learning Outcomes. International Journal of Instruction, 11(1), 89-102.</w:t>
      </w:r>
      <w:r>
        <w:rPr>
          <w:rFonts w:asciiTheme="majorBidi" w:eastAsia="Times New Roman" w:hAnsiTheme="majorBidi" w:cstheme="majorBidi"/>
          <w:sz w:val="28"/>
          <w:szCs w:val="28"/>
          <w:rtl/>
          <w:lang w:bidi="ar-EG"/>
        </w:rPr>
        <w:t>‏</w:t>
      </w:r>
    </w:p>
    <w:p>
      <w:pPr>
        <w:pStyle w:val="ListParagraph"/>
        <w:numPr>
          <w:ilvl w:val="0"/>
          <w:numId w:val="38"/>
        </w:numPr>
        <w:bidi w:val="0"/>
        <w:spacing w:after="0" w:line="360" w:lineRule="auto"/>
        <w:ind w:right="46"/>
        <w:jc w:val="both"/>
        <w:rPr>
          <w:rFonts w:asciiTheme="majorBidi" w:eastAsia="Times New Roman" w:hAnsiTheme="majorBidi" w:cstheme="majorBidi"/>
          <w:sz w:val="28"/>
          <w:szCs w:val="28"/>
          <w:rtl/>
          <w:lang w:bidi="ar-EG"/>
        </w:rPr>
      </w:pPr>
      <w:r>
        <w:rPr>
          <w:rFonts w:asciiTheme="majorBidi" w:eastAsia="Times New Roman" w:hAnsiTheme="majorBidi" w:cstheme="majorBidi"/>
          <w:sz w:val="28"/>
          <w:szCs w:val="28"/>
          <w:lang w:bidi="ar-EG"/>
        </w:rPr>
        <w:t>Wynn, A. H. (2018). The Effect of Experiential Learning on the Mathematics Achievement and Mathematics Anxiety of African-American Students</w:t>
      </w:r>
    </w:p>
    <w:p>
      <w:pPr>
        <w:bidi w:val="0"/>
        <w:spacing w:after="0" w:line="360" w:lineRule="auto"/>
        <w:ind w:left="709" w:right="46"/>
        <w:contextualSpacing/>
        <w:jc w:val="both"/>
        <w:rPr>
          <w:rFonts w:asciiTheme="majorBidi" w:eastAsia="Times New Roman" w:hAnsiTheme="majorBidi" w:cstheme="majorBidi"/>
          <w:sz w:val="28"/>
          <w:szCs w:val="28"/>
          <w:lang w:bidi="ar-EG"/>
        </w:rPr>
      </w:pPr>
    </w:p>
    <w:p>
      <w:pPr>
        <w:spacing w:before="120" w:after="120"/>
        <w:ind w:left="50"/>
        <w:jc w:val="both"/>
        <w:rPr>
          <w:rFonts w:ascii="Simplified Arabic" w:hAnsi="Simplified Arabic" w:cs="Simplified Arabic"/>
          <w:b/>
          <w:bCs/>
          <w:sz w:val="28"/>
          <w:szCs w:val="28"/>
          <w:rtl/>
          <w:lang w:bidi="ar-EG"/>
        </w:rPr>
      </w:pPr>
    </w:p>
    <w:sectPr>
      <w:footerReference w:type="default" r:id="rId11"/>
      <w:pgSz w:w="11906" w:h="16838" w:code="9"/>
      <w:pgMar w:top="1440" w:right="1416"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 Jarida Heavy">
    <w:altName w:val="Times New Roman"/>
    <w:panose1 w:val="00000000000000000000"/>
    <w:charset w:val="B2"/>
    <w:family w:val="roman"/>
    <w:notTrueType/>
    <w:pitch w:val="variable"/>
    <w:sig w:usb0="80002003" w:usb1="80000100" w:usb2="00000028" w:usb3="00000000" w:csb0="00000040" w:csb1="00000000"/>
  </w:font>
  <w:font w:name="Monotype Corsiva">
    <w:panose1 w:val="03010101010201010101"/>
    <w:charset w:val="00"/>
    <w:family w:val="script"/>
    <w:pitch w:val="variable"/>
    <w:sig w:usb0="00000287" w:usb1="00000000" w:usb2="00000000" w:usb3="00000000" w:csb0="0000009F" w:csb1="00000000"/>
  </w:font>
  <w:font w:name="Sakkal Majalla">
    <w:panose1 w:val="02000000000000000000"/>
    <w:charset w:val="00"/>
    <w:family w:val="auto"/>
    <w:pitch w:val="variable"/>
    <w:sig w:usb0="A0002027" w:usb1="80000000" w:usb2="00000108" w:usb3="00000000" w:csb0="000000D3" w:csb1="00000000"/>
  </w:font>
  <w:font w:name="Fanan">
    <w:altName w:val="Arial"/>
    <w:charset w:val="B2"/>
    <w:family w:val="auto"/>
    <w:pitch w:val="variable"/>
    <w:sig w:usb0="00002001" w:usb1="00000000" w:usb2="00000000" w:usb3="00000000" w:csb0="00000040" w:csb1="00000000"/>
  </w:font>
  <w:font w:name="Malik Lt BT">
    <w:altName w:val="Arial"/>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SKR HEAD1">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23891765"/>
      <w:docPartObj>
        <w:docPartGallery w:val="Page Numbers (Bottom of Page)"/>
        <w:docPartUnique/>
      </w:docPartObj>
    </w:sdtPr>
    <w:sdtContent>
      <w:p>
        <w:pPr>
          <w:pStyle w:val="Footer"/>
          <w:jc w:val="center"/>
        </w:pPr>
        <w:r>
          <w:fldChar w:fldCharType="begin"/>
        </w:r>
        <w:r>
          <w:instrText xml:space="preserve"> PAGE   \* MERGEFORMAT </w:instrText>
        </w:r>
        <w:r>
          <w:fldChar w:fldCharType="separate"/>
        </w:r>
        <w:r>
          <w:rPr>
            <w:noProof/>
            <w:rtl/>
          </w:rPr>
          <w:t>2</w:t>
        </w:r>
        <w:r>
          <w:rPr>
            <w:noProof/>
          </w:rPr>
          <w:fldChar w:fldCharType="end"/>
        </w:r>
      </w:p>
    </w:sdtContent>
  </w:sdt>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ind w:left="424" w:hanging="424"/>
        <w:jc w:val="both"/>
        <w:rPr>
          <w:rFonts w:ascii="Times New Roman" w:eastAsia="SimSun" w:hAnsi="Times New Roman" w:cs="Simplified Arabic"/>
          <w:b/>
          <w:bCs/>
          <w:sz w:val="24"/>
          <w:szCs w:val="24"/>
          <w:rtl/>
          <w:lang w:eastAsia="zh-CN" w:bidi="ar-EG"/>
        </w:rPr>
      </w:pPr>
      <w:r>
        <w:rPr>
          <w:rStyle w:val="FootnoteReference"/>
          <w:b/>
          <w:bCs/>
        </w:rPr>
        <w:footnoteRef/>
      </w:r>
      <w:r>
        <w:rPr>
          <w:b/>
          <w:bCs/>
          <w:rtl/>
        </w:rPr>
        <w:t xml:space="preserve"> </w:t>
      </w:r>
      <w:r>
        <w:rPr>
          <w:rFonts w:ascii="Times New Roman" w:eastAsia="SimSun" w:hAnsi="Times New Roman" w:cs="Simplified Arabic" w:hint="cs"/>
          <w:b/>
          <w:bCs/>
          <w:sz w:val="24"/>
          <w:szCs w:val="24"/>
          <w:rtl/>
          <w:lang w:eastAsia="zh-CN" w:bidi="ar-EG"/>
        </w:rPr>
        <w:t xml:space="preserve">[*] اتبعت الباحثة نظام توثيق الجمعية الأمريكية للعلوم النفسية </w:t>
      </w:r>
      <w:r>
        <w:rPr>
          <w:rFonts w:ascii="Times New Roman" w:eastAsia="SimSun" w:hAnsi="Times New Roman" w:cs="Simplified Arabic"/>
          <w:b/>
          <w:bCs/>
          <w:sz w:val="24"/>
          <w:szCs w:val="24"/>
          <w:lang w:eastAsia="zh-CN" w:bidi="ar-EG"/>
        </w:rPr>
        <w:t xml:space="preserve"> APA</w:t>
      </w:r>
      <w:r>
        <w:rPr>
          <w:rFonts w:ascii="Times New Roman" w:eastAsia="SimSun" w:hAnsi="Times New Roman" w:cs="Simplified Arabic" w:hint="cs"/>
          <w:b/>
          <w:bCs/>
          <w:sz w:val="24"/>
          <w:szCs w:val="24"/>
          <w:rtl/>
          <w:lang w:eastAsia="zh-CN" w:bidi="ar-EG"/>
        </w:rPr>
        <w:t>: الإصدار السادس(</w:t>
      </w:r>
      <w:r>
        <w:rPr>
          <w:rFonts w:ascii="Times New Roman" w:eastAsia="SimSun" w:hAnsi="Times New Roman" w:cs="Simplified Arabic" w:hint="cs"/>
          <w:b/>
          <w:bCs/>
          <w:color w:val="000000"/>
          <w:sz w:val="24"/>
          <w:szCs w:val="24"/>
          <w:rtl/>
          <w:lang w:eastAsia="zh-CN" w:bidi="ar-EG"/>
        </w:rPr>
        <w:t xml:space="preserve">اسم عائلة </w:t>
      </w:r>
      <w:r>
        <w:rPr>
          <w:rFonts w:ascii="Times New Roman" w:eastAsia="SimSun" w:hAnsi="Times New Roman" w:cs="Simplified Arabic" w:hint="cs"/>
          <w:b/>
          <w:bCs/>
          <w:sz w:val="24"/>
          <w:szCs w:val="24"/>
          <w:rtl/>
          <w:lang w:eastAsia="zh-CN" w:bidi="ar-EG"/>
        </w:rPr>
        <w:t>الباحث، السنة: رقم الصفحة).</w:t>
      </w:r>
    </w:p>
    <w:p>
      <w:pPr>
        <w:pStyle w:val="FootnoteText"/>
        <w:rPr>
          <w:rtl/>
          <w:lang w:bidi="ar-EG"/>
        </w:rPr>
      </w:pPr>
    </w:p>
  </w:footnote>
  <w:footnote w:id="2">
    <w:p>
      <w:pPr>
        <w:pStyle w:val="Header"/>
        <w:jc w:val="lowKashida"/>
        <w:rPr>
          <w:rFonts w:cs="Simplified Arabic"/>
        </w:rPr>
      </w:pPr>
      <w:r>
        <w:rPr>
          <w:rFonts w:cs="Simplified Arabic"/>
          <w:rtl/>
        </w:rPr>
        <w:t>(*)</w:t>
      </w:r>
      <w:r>
        <w:rPr>
          <w:rFonts w:cs="Simplified Arabic" w:hint="cs"/>
          <w:i/>
          <w:rtl/>
        </w:rPr>
        <w:t xml:space="preserve"> درجة الكسب = (متوسط التطبيق البعدي - متوسط التطبيق القبلي).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46DF3"/>
    <w:multiLevelType w:val="hybridMultilevel"/>
    <w:tmpl w:val="B0BCD3E0"/>
    <w:lvl w:ilvl="0" w:tplc="753E51C0">
      <w:start w:val="1"/>
      <w:numFmt w:val="decimal"/>
      <w:lvlText w:val="%1-"/>
      <w:lvlJc w:val="left"/>
      <w:pPr>
        <w:ind w:left="-123" w:hanging="360"/>
      </w:pPr>
      <w:rPr>
        <w:rFonts w:hint="default"/>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abstractNum w:abstractNumId="1">
    <w:nsid w:val="065E786F"/>
    <w:multiLevelType w:val="hybridMultilevel"/>
    <w:tmpl w:val="653E94BE"/>
    <w:lvl w:ilvl="0" w:tplc="2DA4674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AD5CFA"/>
    <w:multiLevelType w:val="hybridMultilevel"/>
    <w:tmpl w:val="616AA97E"/>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0A5062F3"/>
    <w:multiLevelType w:val="hybridMultilevel"/>
    <w:tmpl w:val="FF784ADA"/>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B404CCA"/>
    <w:multiLevelType w:val="hybridMultilevel"/>
    <w:tmpl w:val="6812D976"/>
    <w:lvl w:ilvl="0" w:tplc="04090001">
      <w:start w:val="1"/>
      <w:numFmt w:val="bullet"/>
      <w:lvlText w:val=""/>
      <w:lvlJc w:val="left"/>
      <w:pPr>
        <w:ind w:left="237" w:hanging="360"/>
      </w:pPr>
      <w:rPr>
        <w:rFonts w:ascii="Symbol" w:hAnsi="Symbol" w:hint="default"/>
      </w:rPr>
    </w:lvl>
    <w:lvl w:ilvl="1" w:tplc="04090003" w:tentative="1">
      <w:start w:val="1"/>
      <w:numFmt w:val="bullet"/>
      <w:lvlText w:val="o"/>
      <w:lvlJc w:val="left"/>
      <w:pPr>
        <w:ind w:left="957" w:hanging="360"/>
      </w:pPr>
      <w:rPr>
        <w:rFonts w:ascii="Courier New" w:hAnsi="Courier New" w:cs="Courier New" w:hint="default"/>
      </w:rPr>
    </w:lvl>
    <w:lvl w:ilvl="2" w:tplc="04090005" w:tentative="1">
      <w:start w:val="1"/>
      <w:numFmt w:val="bullet"/>
      <w:lvlText w:val=""/>
      <w:lvlJc w:val="left"/>
      <w:pPr>
        <w:ind w:left="1677" w:hanging="360"/>
      </w:pPr>
      <w:rPr>
        <w:rFonts w:ascii="Wingdings" w:hAnsi="Wingdings" w:hint="default"/>
      </w:rPr>
    </w:lvl>
    <w:lvl w:ilvl="3" w:tplc="04090001" w:tentative="1">
      <w:start w:val="1"/>
      <w:numFmt w:val="bullet"/>
      <w:lvlText w:val=""/>
      <w:lvlJc w:val="left"/>
      <w:pPr>
        <w:ind w:left="2397" w:hanging="360"/>
      </w:pPr>
      <w:rPr>
        <w:rFonts w:ascii="Symbol" w:hAnsi="Symbol" w:hint="default"/>
      </w:rPr>
    </w:lvl>
    <w:lvl w:ilvl="4" w:tplc="04090003" w:tentative="1">
      <w:start w:val="1"/>
      <w:numFmt w:val="bullet"/>
      <w:lvlText w:val="o"/>
      <w:lvlJc w:val="left"/>
      <w:pPr>
        <w:ind w:left="3117" w:hanging="360"/>
      </w:pPr>
      <w:rPr>
        <w:rFonts w:ascii="Courier New" w:hAnsi="Courier New" w:cs="Courier New" w:hint="default"/>
      </w:rPr>
    </w:lvl>
    <w:lvl w:ilvl="5" w:tplc="04090005" w:tentative="1">
      <w:start w:val="1"/>
      <w:numFmt w:val="bullet"/>
      <w:lvlText w:val=""/>
      <w:lvlJc w:val="left"/>
      <w:pPr>
        <w:ind w:left="3837" w:hanging="360"/>
      </w:pPr>
      <w:rPr>
        <w:rFonts w:ascii="Wingdings" w:hAnsi="Wingdings" w:hint="default"/>
      </w:rPr>
    </w:lvl>
    <w:lvl w:ilvl="6" w:tplc="04090001" w:tentative="1">
      <w:start w:val="1"/>
      <w:numFmt w:val="bullet"/>
      <w:lvlText w:val=""/>
      <w:lvlJc w:val="left"/>
      <w:pPr>
        <w:ind w:left="4557" w:hanging="360"/>
      </w:pPr>
      <w:rPr>
        <w:rFonts w:ascii="Symbol" w:hAnsi="Symbol" w:hint="default"/>
      </w:rPr>
    </w:lvl>
    <w:lvl w:ilvl="7" w:tplc="04090003" w:tentative="1">
      <w:start w:val="1"/>
      <w:numFmt w:val="bullet"/>
      <w:lvlText w:val="o"/>
      <w:lvlJc w:val="left"/>
      <w:pPr>
        <w:ind w:left="5277" w:hanging="360"/>
      </w:pPr>
      <w:rPr>
        <w:rFonts w:ascii="Courier New" w:hAnsi="Courier New" w:cs="Courier New" w:hint="default"/>
      </w:rPr>
    </w:lvl>
    <w:lvl w:ilvl="8" w:tplc="04090005" w:tentative="1">
      <w:start w:val="1"/>
      <w:numFmt w:val="bullet"/>
      <w:lvlText w:val=""/>
      <w:lvlJc w:val="left"/>
      <w:pPr>
        <w:ind w:left="5997" w:hanging="360"/>
      </w:pPr>
      <w:rPr>
        <w:rFonts w:ascii="Wingdings" w:hAnsi="Wingdings" w:hint="default"/>
      </w:rPr>
    </w:lvl>
  </w:abstractNum>
  <w:abstractNum w:abstractNumId="5">
    <w:nsid w:val="0C704664"/>
    <w:multiLevelType w:val="hybridMultilevel"/>
    <w:tmpl w:val="D458E2B0"/>
    <w:lvl w:ilvl="0" w:tplc="0409000F">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BE7B27"/>
    <w:multiLevelType w:val="hybridMultilevel"/>
    <w:tmpl w:val="F0161626"/>
    <w:lvl w:ilvl="0" w:tplc="51D0F4D4">
      <w:start w:val="1"/>
      <w:numFmt w:val="arabicAlpha"/>
      <w:lvlText w:val="%1)"/>
      <w:lvlJc w:val="left"/>
      <w:pPr>
        <w:ind w:left="-123" w:hanging="360"/>
      </w:pPr>
      <w:rPr>
        <w:rFonts w:hint="default"/>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abstractNum w:abstractNumId="7">
    <w:nsid w:val="13B06BEB"/>
    <w:multiLevelType w:val="hybridMultilevel"/>
    <w:tmpl w:val="A7F29480"/>
    <w:lvl w:ilvl="0" w:tplc="0409000F">
      <w:start w:val="1"/>
      <w:numFmt w:val="decimal"/>
      <w:lvlText w:val="%1."/>
      <w:lvlJc w:val="left"/>
      <w:pPr>
        <w:ind w:left="-123" w:hanging="360"/>
      </w:pPr>
      <w:rPr>
        <w:rFonts w:hint="default"/>
      </w:rPr>
    </w:lvl>
    <w:lvl w:ilvl="1" w:tplc="04090003" w:tentative="1">
      <w:start w:val="1"/>
      <w:numFmt w:val="bullet"/>
      <w:lvlText w:val="o"/>
      <w:lvlJc w:val="left"/>
      <w:pPr>
        <w:ind w:left="597" w:hanging="360"/>
      </w:pPr>
      <w:rPr>
        <w:rFonts w:ascii="Courier New" w:hAnsi="Courier New" w:cs="Courier New" w:hint="default"/>
      </w:rPr>
    </w:lvl>
    <w:lvl w:ilvl="2" w:tplc="04090005" w:tentative="1">
      <w:start w:val="1"/>
      <w:numFmt w:val="bullet"/>
      <w:lvlText w:val=""/>
      <w:lvlJc w:val="left"/>
      <w:pPr>
        <w:ind w:left="1317" w:hanging="360"/>
      </w:pPr>
      <w:rPr>
        <w:rFonts w:ascii="Wingdings" w:hAnsi="Wingdings" w:hint="default"/>
      </w:rPr>
    </w:lvl>
    <w:lvl w:ilvl="3" w:tplc="04090001" w:tentative="1">
      <w:start w:val="1"/>
      <w:numFmt w:val="bullet"/>
      <w:lvlText w:val=""/>
      <w:lvlJc w:val="left"/>
      <w:pPr>
        <w:ind w:left="2037" w:hanging="360"/>
      </w:pPr>
      <w:rPr>
        <w:rFonts w:ascii="Symbol" w:hAnsi="Symbol" w:hint="default"/>
      </w:rPr>
    </w:lvl>
    <w:lvl w:ilvl="4" w:tplc="04090003" w:tentative="1">
      <w:start w:val="1"/>
      <w:numFmt w:val="bullet"/>
      <w:lvlText w:val="o"/>
      <w:lvlJc w:val="left"/>
      <w:pPr>
        <w:ind w:left="2757" w:hanging="360"/>
      </w:pPr>
      <w:rPr>
        <w:rFonts w:ascii="Courier New" w:hAnsi="Courier New" w:cs="Courier New" w:hint="default"/>
      </w:rPr>
    </w:lvl>
    <w:lvl w:ilvl="5" w:tplc="04090005" w:tentative="1">
      <w:start w:val="1"/>
      <w:numFmt w:val="bullet"/>
      <w:lvlText w:val=""/>
      <w:lvlJc w:val="left"/>
      <w:pPr>
        <w:ind w:left="3477" w:hanging="360"/>
      </w:pPr>
      <w:rPr>
        <w:rFonts w:ascii="Wingdings" w:hAnsi="Wingdings" w:hint="default"/>
      </w:rPr>
    </w:lvl>
    <w:lvl w:ilvl="6" w:tplc="04090001" w:tentative="1">
      <w:start w:val="1"/>
      <w:numFmt w:val="bullet"/>
      <w:lvlText w:val=""/>
      <w:lvlJc w:val="left"/>
      <w:pPr>
        <w:ind w:left="4197" w:hanging="360"/>
      </w:pPr>
      <w:rPr>
        <w:rFonts w:ascii="Symbol" w:hAnsi="Symbol" w:hint="default"/>
      </w:rPr>
    </w:lvl>
    <w:lvl w:ilvl="7" w:tplc="04090003" w:tentative="1">
      <w:start w:val="1"/>
      <w:numFmt w:val="bullet"/>
      <w:lvlText w:val="o"/>
      <w:lvlJc w:val="left"/>
      <w:pPr>
        <w:ind w:left="4917" w:hanging="360"/>
      </w:pPr>
      <w:rPr>
        <w:rFonts w:ascii="Courier New" w:hAnsi="Courier New" w:cs="Courier New" w:hint="default"/>
      </w:rPr>
    </w:lvl>
    <w:lvl w:ilvl="8" w:tplc="04090005" w:tentative="1">
      <w:start w:val="1"/>
      <w:numFmt w:val="bullet"/>
      <w:lvlText w:val=""/>
      <w:lvlJc w:val="left"/>
      <w:pPr>
        <w:ind w:left="5637" w:hanging="360"/>
      </w:pPr>
      <w:rPr>
        <w:rFonts w:ascii="Wingdings" w:hAnsi="Wingdings" w:hint="default"/>
      </w:rPr>
    </w:lvl>
  </w:abstractNum>
  <w:abstractNum w:abstractNumId="8">
    <w:nsid w:val="150E6F96"/>
    <w:multiLevelType w:val="hybridMultilevel"/>
    <w:tmpl w:val="FF807CB2"/>
    <w:lvl w:ilvl="0" w:tplc="65140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E8215D"/>
    <w:multiLevelType w:val="hybridMultilevel"/>
    <w:tmpl w:val="4928D050"/>
    <w:lvl w:ilvl="0" w:tplc="0409000F">
      <w:start w:val="1"/>
      <w:numFmt w:val="decimal"/>
      <w:lvlText w:val="%1."/>
      <w:lvlJc w:val="left"/>
      <w:pPr>
        <w:ind w:left="379" w:hanging="360"/>
      </w:p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10">
    <w:nsid w:val="1B8D33F8"/>
    <w:multiLevelType w:val="hybridMultilevel"/>
    <w:tmpl w:val="7870F770"/>
    <w:lvl w:ilvl="0" w:tplc="01F8CA74">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1">
    <w:nsid w:val="1C896BFA"/>
    <w:multiLevelType w:val="hybridMultilevel"/>
    <w:tmpl w:val="E244FA06"/>
    <w:lvl w:ilvl="0" w:tplc="212E4274">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6F3A20"/>
    <w:multiLevelType w:val="hybridMultilevel"/>
    <w:tmpl w:val="32BE34CE"/>
    <w:lvl w:ilvl="0" w:tplc="04090009">
      <w:start w:val="1"/>
      <w:numFmt w:val="bullet"/>
      <w:lvlText w:val=""/>
      <w:lvlJc w:val="left"/>
      <w:pPr>
        <w:ind w:left="630" w:hanging="360"/>
      </w:pPr>
      <w:rPr>
        <w:rFonts w:ascii="Wingdings" w:hAnsi="Wingdings" w:hint="default"/>
        <w:sz w:val="28"/>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nsid w:val="20546103"/>
    <w:multiLevelType w:val="hybridMultilevel"/>
    <w:tmpl w:val="18362A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DE2420"/>
    <w:multiLevelType w:val="hybridMultilevel"/>
    <w:tmpl w:val="4E16F1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83051D"/>
    <w:multiLevelType w:val="hybridMultilevel"/>
    <w:tmpl w:val="686C7920"/>
    <w:lvl w:ilvl="0" w:tplc="E30C05E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F20B3A"/>
    <w:multiLevelType w:val="hybridMultilevel"/>
    <w:tmpl w:val="D4B84CE4"/>
    <w:lvl w:ilvl="0" w:tplc="0409000D">
      <w:start w:val="1"/>
      <w:numFmt w:val="bullet"/>
      <w:lvlText w:val=""/>
      <w:lvlJc w:val="left"/>
      <w:pPr>
        <w:tabs>
          <w:tab w:val="num" w:pos="1440"/>
        </w:tabs>
        <w:ind w:left="1440" w:hanging="360"/>
      </w:pPr>
      <w:rPr>
        <w:rFonts w:ascii="Wingdings" w:hAnsi="Wingdings" w:hint="default"/>
        <w:b/>
        <w:bCs w:val="0"/>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2DDF76FA"/>
    <w:multiLevelType w:val="hybridMultilevel"/>
    <w:tmpl w:val="5840E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5D4A56"/>
    <w:multiLevelType w:val="hybridMultilevel"/>
    <w:tmpl w:val="2D4C09F2"/>
    <w:lvl w:ilvl="0" w:tplc="1C5424C0">
      <w:start w:val="8"/>
      <w:numFmt w:val="bullet"/>
      <w:lvlText w:val="-"/>
      <w:lvlJc w:val="left"/>
      <w:pPr>
        <w:ind w:left="-123" w:hanging="360"/>
      </w:pPr>
      <w:rPr>
        <w:rFonts w:ascii="Simplified Arabic" w:eastAsiaTheme="minorHAnsi" w:hAnsi="Simplified Arabic" w:cs="Simplified Arabic" w:hint="default"/>
      </w:rPr>
    </w:lvl>
    <w:lvl w:ilvl="1" w:tplc="04090003" w:tentative="1">
      <w:start w:val="1"/>
      <w:numFmt w:val="bullet"/>
      <w:lvlText w:val="o"/>
      <w:lvlJc w:val="left"/>
      <w:pPr>
        <w:ind w:left="597" w:hanging="360"/>
      </w:pPr>
      <w:rPr>
        <w:rFonts w:ascii="Courier New" w:hAnsi="Courier New" w:cs="Courier New" w:hint="default"/>
      </w:rPr>
    </w:lvl>
    <w:lvl w:ilvl="2" w:tplc="04090005" w:tentative="1">
      <w:start w:val="1"/>
      <w:numFmt w:val="bullet"/>
      <w:lvlText w:val=""/>
      <w:lvlJc w:val="left"/>
      <w:pPr>
        <w:ind w:left="1317" w:hanging="360"/>
      </w:pPr>
      <w:rPr>
        <w:rFonts w:ascii="Wingdings" w:hAnsi="Wingdings" w:hint="default"/>
      </w:rPr>
    </w:lvl>
    <w:lvl w:ilvl="3" w:tplc="04090001" w:tentative="1">
      <w:start w:val="1"/>
      <w:numFmt w:val="bullet"/>
      <w:lvlText w:val=""/>
      <w:lvlJc w:val="left"/>
      <w:pPr>
        <w:ind w:left="2037" w:hanging="360"/>
      </w:pPr>
      <w:rPr>
        <w:rFonts w:ascii="Symbol" w:hAnsi="Symbol" w:hint="default"/>
      </w:rPr>
    </w:lvl>
    <w:lvl w:ilvl="4" w:tplc="04090003" w:tentative="1">
      <w:start w:val="1"/>
      <w:numFmt w:val="bullet"/>
      <w:lvlText w:val="o"/>
      <w:lvlJc w:val="left"/>
      <w:pPr>
        <w:ind w:left="2757" w:hanging="360"/>
      </w:pPr>
      <w:rPr>
        <w:rFonts w:ascii="Courier New" w:hAnsi="Courier New" w:cs="Courier New" w:hint="default"/>
      </w:rPr>
    </w:lvl>
    <w:lvl w:ilvl="5" w:tplc="04090005" w:tentative="1">
      <w:start w:val="1"/>
      <w:numFmt w:val="bullet"/>
      <w:lvlText w:val=""/>
      <w:lvlJc w:val="left"/>
      <w:pPr>
        <w:ind w:left="3477" w:hanging="360"/>
      </w:pPr>
      <w:rPr>
        <w:rFonts w:ascii="Wingdings" w:hAnsi="Wingdings" w:hint="default"/>
      </w:rPr>
    </w:lvl>
    <w:lvl w:ilvl="6" w:tplc="04090001" w:tentative="1">
      <w:start w:val="1"/>
      <w:numFmt w:val="bullet"/>
      <w:lvlText w:val=""/>
      <w:lvlJc w:val="left"/>
      <w:pPr>
        <w:ind w:left="4197" w:hanging="360"/>
      </w:pPr>
      <w:rPr>
        <w:rFonts w:ascii="Symbol" w:hAnsi="Symbol" w:hint="default"/>
      </w:rPr>
    </w:lvl>
    <w:lvl w:ilvl="7" w:tplc="04090003" w:tentative="1">
      <w:start w:val="1"/>
      <w:numFmt w:val="bullet"/>
      <w:lvlText w:val="o"/>
      <w:lvlJc w:val="left"/>
      <w:pPr>
        <w:ind w:left="4917" w:hanging="360"/>
      </w:pPr>
      <w:rPr>
        <w:rFonts w:ascii="Courier New" w:hAnsi="Courier New" w:cs="Courier New" w:hint="default"/>
      </w:rPr>
    </w:lvl>
    <w:lvl w:ilvl="8" w:tplc="04090005" w:tentative="1">
      <w:start w:val="1"/>
      <w:numFmt w:val="bullet"/>
      <w:lvlText w:val=""/>
      <w:lvlJc w:val="left"/>
      <w:pPr>
        <w:ind w:left="5637" w:hanging="360"/>
      </w:pPr>
      <w:rPr>
        <w:rFonts w:ascii="Wingdings" w:hAnsi="Wingdings" w:hint="default"/>
      </w:rPr>
    </w:lvl>
  </w:abstractNum>
  <w:abstractNum w:abstractNumId="19">
    <w:nsid w:val="37475E7D"/>
    <w:multiLevelType w:val="hybridMultilevel"/>
    <w:tmpl w:val="651675A6"/>
    <w:lvl w:ilvl="0" w:tplc="04090005">
      <w:start w:val="1"/>
      <w:numFmt w:val="bullet"/>
      <w:lvlText w:val=""/>
      <w:lvlJc w:val="left"/>
      <w:pPr>
        <w:ind w:left="597" w:hanging="360"/>
      </w:pPr>
      <w:rPr>
        <w:rFonts w:ascii="Wingdings" w:hAnsi="Wingdings" w:hint="default"/>
      </w:rPr>
    </w:lvl>
    <w:lvl w:ilvl="1" w:tplc="04090003" w:tentative="1">
      <w:start w:val="1"/>
      <w:numFmt w:val="bullet"/>
      <w:lvlText w:val="o"/>
      <w:lvlJc w:val="left"/>
      <w:pPr>
        <w:ind w:left="1317" w:hanging="360"/>
      </w:pPr>
      <w:rPr>
        <w:rFonts w:ascii="Courier New" w:hAnsi="Courier New" w:cs="Courier New" w:hint="default"/>
      </w:rPr>
    </w:lvl>
    <w:lvl w:ilvl="2" w:tplc="04090005" w:tentative="1">
      <w:start w:val="1"/>
      <w:numFmt w:val="bullet"/>
      <w:lvlText w:val=""/>
      <w:lvlJc w:val="left"/>
      <w:pPr>
        <w:ind w:left="2037" w:hanging="360"/>
      </w:pPr>
      <w:rPr>
        <w:rFonts w:ascii="Wingdings" w:hAnsi="Wingdings" w:hint="default"/>
      </w:rPr>
    </w:lvl>
    <w:lvl w:ilvl="3" w:tplc="04090001" w:tentative="1">
      <w:start w:val="1"/>
      <w:numFmt w:val="bullet"/>
      <w:lvlText w:val=""/>
      <w:lvlJc w:val="left"/>
      <w:pPr>
        <w:ind w:left="2757" w:hanging="360"/>
      </w:pPr>
      <w:rPr>
        <w:rFonts w:ascii="Symbol" w:hAnsi="Symbol" w:hint="default"/>
      </w:rPr>
    </w:lvl>
    <w:lvl w:ilvl="4" w:tplc="04090003" w:tentative="1">
      <w:start w:val="1"/>
      <w:numFmt w:val="bullet"/>
      <w:lvlText w:val="o"/>
      <w:lvlJc w:val="left"/>
      <w:pPr>
        <w:ind w:left="3477" w:hanging="360"/>
      </w:pPr>
      <w:rPr>
        <w:rFonts w:ascii="Courier New" w:hAnsi="Courier New" w:cs="Courier New" w:hint="default"/>
      </w:rPr>
    </w:lvl>
    <w:lvl w:ilvl="5" w:tplc="04090005" w:tentative="1">
      <w:start w:val="1"/>
      <w:numFmt w:val="bullet"/>
      <w:lvlText w:val=""/>
      <w:lvlJc w:val="left"/>
      <w:pPr>
        <w:ind w:left="4197" w:hanging="360"/>
      </w:pPr>
      <w:rPr>
        <w:rFonts w:ascii="Wingdings" w:hAnsi="Wingdings" w:hint="default"/>
      </w:rPr>
    </w:lvl>
    <w:lvl w:ilvl="6" w:tplc="04090001" w:tentative="1">
      <w:start w:val="1"/>
      <w:numFmt w:val="bullet"/>
      <w:lvlText w:val=""/>
      <w:lvlJc w:val="left"/>
      <w:pPr>
        <w:ind w:left="4917" w:hanging="360"/>
      </w:pPr>
      <w:rPr>
        <w:rFonts w:ascii="Symbol" w:hAnsi="Symbol" w:hint="default"/>
      </w:rPr>
    </w:lvl>
    <w:lvl w:ilvl="7" w:tplc="04090003" w:tentative="1">
      <w:start w:val="1"/>
      <w:numFmt w:val="bullet"/>
      <w:lvlText w:val="o"/>
      <w:lvlJc w:val="left"/>
      <w:pPr>
        <w:ind w:left="5637" w:hanging="360"/>
      </w:pPr>
      <w:rPr>
        <w:rFonts w:ascii="Courier New" w:hAnsi="Courier New" w:cs="Courier New" w:hint="default"/>
      </w:rPr>
    </w:lvl>
    <w:lvl w:ilvl="8" w:tplc="04090005" w:tentative="1">
      <w:start w:val="1"/>
      <w:numFmt w:val="bullet"/>
      <w:lvlText w:val=""/>
      <w:lvlJc w:val="left"/>
      <w:pPr>
        <w:ind w:left="6357" w:hanging="360"/>
      </w:pPr>
      <w:rPr>
        <w:rFonts w:ascii="Wingdings" w:hAnsi="Wingdings" w:hint="default"/>
      </w:rPr>
    </w:lvl>
  </w:abstractNum>
  <w:abstractNum w:abstractNumId="20">
    <w:nsid w:val="387B0C51"/>
    <w:multiLevelType w:val="hybridMultilevel"/>
    <w:tmpl w:val="834209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A30FDF"/>
    <w:multiLevelType w:val="hybridMultilevel"/>
    <w:tmpl w:val="BF42E070"/>
    <w:lvl w:ilvl="0" w:tplc="826AC5A4">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22">
    <w:nsid w:val="39CE486B"/>
    <w:multiLevelType w:val="hybridMultilevel"/>
    <w:tmpl w:val="0D0A8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A17D78"/>
    <w:multiLevelType w:val="hybridMultilevel"/>
    <w:tmpl w:val="54221E88"/>
    <w:lvl w:ilvl="0" w:tplc="04090009">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F9620F3"/>
    <w:multiLevelType w:val="hybridMultilevel"/>
    <w:tmpl w:val="7DB03A0E"/>
    <w:lvl w:ilvl="0" w:tplc="04090005">
      <w:start w:val="1"/>
      <w:numFmt w:val="bullet"/>
      <w:lvlText w:val=""/>
      <w:lvlJc w:val="left"/>
      <w:pPr>
        <w:ind w:left="237" w:hanging="360"/>
      </w:pPr>
      <w:rPr>
        <w:rFonts w:ascii="Wingdings" w:hAnsi="Wingdings" w:hint="default"/>
      </w:rPr>
    </w:lvl>
    <w:lvl w:ilvl="1" w:tplc="04090003" w:tentative="1">
      <w:start w:val="1"/>
      <w:numFmt w:val="bullet"/>
      <w:lvlText w:val="o"/>
      <w:lvlJc w:val="left"/>
      <w:pPr>
        <w:ind w:left="957" w:hanging="360"/>
      </w:pPr>
      <w:rPr>
        <w:rFonts w:ascii="Courier New" w:hAnsi="Courier New" w:cs="Courier New" w:hint="default"/>
      </w:rPr>
    </w:lvl>
    <w:lvl w:ilvl="2" w:tplc="04090005" w:tentative="1">
      <w:start w:val="1"/>
      <w:numFmt w:val="bullet"/>
      <w:lvlText w:val=""/>
      <w:lvlJc w:val="left"/>
      <w:pPr>
        <w:ind w:left="1677" w:hanging="360"/>
      </w:pPr>
      <w:rPr>
        <w:rFonts w:ascii="Wingdings" w:hAnsi="Wingdings" w:hint="default"/>
      </w:rPr>
    </w:lvl>
    <w:lvl w:ilvl="3" w:tplc="04090001" w:tentative="1">
      <w:start w:val="1"/>
      <w:numFmt w:val="bullet"/>
      <w:lvlText w:val=""/>
      <w:lvlJc w:val="left"/>
      <w:pPr>
        <w:ind w:left="2397" w:hanging="360"/>
      </w:pPr>
      <w:rPr>
        <w:rFonts w:ascii="Symbol" w:hAnsi="Symbol" w:hint="default"/>
      </w:rPr>
    </w:lvl>
    <w:lvl w:ilvl="4" w:tplc="04090003" w:tentative="1">
      <w:start w:val="1"/>
      <w:numFmt w:val="bullet"/>
      <w:lvlText w:val="o"/>
      <w:lvlJc w:val="left"/>
      <w:pPr>
        <w:ind w:left="3117" w:hanging="360"/>
      </w:pPr>
      <w:rPr>
        <w:rFonts w:ascii="Courier New" w:hAnsi="Courier New" w:cs="Courier New" w:hint="default"/>
      </w:rPr>
    </w:lvl>
    <w:lvl w:ilvl="5" w:tplc="04090005" w:tentative="1">
      <w:start w:val="1"/>
      <w:numFmt w:val="bullet"/>
      <w:lvlText w:val=""/>
      <w:lvlJc w:val="left"/>
      <w:pPr>
        <w:ind w:left="3837" w:hanging="360"/>
      </w:pPr>
      <w:rPr>
        <w:rFonts w:ascii="Wingdings" w:hAnsi="Wingdings" w:hint="default"/>
      </w:rPr>
    </w:lvl>
    <w:lvl w:ilvl="6" w:tplc="04090001" w:tentative="1">
      <w:start w:val="1"/>
      <w:numFmt w:val="bullet"/>
      <w:lvlText w:val=""/>
      <w:lvlJc w:val="left"/>
      <w:pPr>
        <w:ind w:left="4557" w:hanging="360"/>
      </w:pPr>
      <w:rPr>
        <w:rFonts w:ascii="Symbol" w:hAnsi="Symbol" w:hint="default"/>
      </w:rPr>
    </w:lvl>
    <w:lvl w:ilvl="7" w:tplc="04090003" w:tentative="1">
      <w:start w:val="1"/>
      <w:numFmt w:val="bullet"/>
      <w:lvlText w:val="o"/>
      <w:lvlJc w:val="left"/>
      <w:pPr>
        <w:ind w:left="5277" w:hanging="360"/>
      </w:pPr>
      <w:rPr>
        <w:rFonts w:ascii="Courier New" w:hAnsi="Courier New" w:cs="Courier New" w:hint="default"/>
      </w:rPr>
    </w:lvl>
    <w:lvl w:ilvl="8" w:tplc="04090005" w:tentative="1">
      <w:start w:val="1"/>
      <w:numFmt w:val="bullet"/>
      <w:lvlText w:val=""/>
      <w:lvlJc w:val="left"/>
      <w:pPr>
        <w:ind w:left="5997" w:hanging="360"/>
      </w:pPr>
      <w:rPr>
        <w:rFonts w:ascii="Wingdings" w:hAnsi="Wingdings" w:hint="default"/>
      </w:rPr>
    </w:lvl>
  </w:abstractNum>
  <w:abstractNum w:abstractNumId="25">
    <w:nsid w:val="40F3747D"/>
    <w:multiLevelType w:val="hybridMultilevel"/>
    <w:tmpl w:val="357A1AF8"/>
    <w:lvl w:ilvl="0" w:tplc="59381BD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79A17CB"/>
    <w:multiLevelType w:val="hybridMultilevel"/>
    <w:tmpl w:val="DC3A197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47AB2CFA"/>
    <w:multiLevelType w:val="hybridMultilevel"/>
    <w:tmpl w:val="5EFE9786"/>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488E35AC"/>
    <w:multiLevelType w:val="hybridMultilevel"/>
    <w:tmpl w:val="158266A0"/>
    <w:lvl w:ilvl="0" w:tplc="5C8CB9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A96CA9"/>
    <w:multiLevelType w:val="hybridMultilevel"/>
    <w:tmpl w:val="DABCE02C"/>
    <w:lvl w:ilvl="0" w:tplc="04090005">
      <w:start w:val="1"/>
      <w:numFmt w:val="bullet"/>
      <w:lvlText w:val=""/>
      <w:lvlJc w:val="left"/>
      <w:pPr>
        <w:ind w:left="237" w:hanging="360"/>
      </w:pPr>
      <w:rPr>
        <w:rFonts w:ascii="Wingdings" w:hAnsi="Wingdings" w:hint="default"/>
      </w:rPr>
    </w:lvl>
    <w:lvl w:ilvl="1" w:tplc="04090003" w:tentative="1">
      <w:start w:val="1"/>
      <w:numFmt w:val="bullet"/>
      <w:lvlText w:val="o"/>
      <w:lvlJc w:val="left"/>
      <w:pPr>
        <w:ind w:left="957" w:hanging="360"/>
      </w:pPr>
      <w:rPr>
        <w:rFonts w:ascii="Courier New" w:hAnsi="Courier New" w:cs="Courier New" w:hint="default"/>
      </w:rPr>
    </w:lvl>
    <w:lvl w:ilvl="2" w:tplc="04090005" w:tentative="1">
      <w:start w:val="1"/>
      <w:numFmt w:val="bullet"/>
      <w:lvlText w:val=""/>
      <w:lvlJc w:val="left"/>
      <w:pPr>
        <w:ind w:left="1677" w:hanging="360"/>
      </w:pPr>
      <w:rPr>
        <w:rFonts w:ascii="Wingdings" w:hAnsi="Wingdings" w:hint="default"/>
      </w:rPr>
    </w:lvl>
    <w:lvl w:ilvl="3" w:tplc="04090001" w:tentative="1">
      <w:start w:val="1"/>
      <w:numFmt w:val="bullet"/>
      <w:lvlText w:val=""/>
      <w:lvlJc w:val="left"/>
      <w:pPr>
        <w:ind w:left="2397" w:hanging="360"/>
      </w:pPr>
      <w:rPr>
        <w:rFonts w:ascii="Symbol" w:hAnsi="Symbol" w:hint="default"/>
      </w:rPr>
    </w:lvl>
    <w:lvl w:ilvl="4" w:tplc="04090003" w:tentative="1">
      <w:start w:val="1"/>
      <w:numFmt w:val="bullet"/>
      <w:lvlText w:val="o"/>
      <w:lvlJc w:val="left"/>
      <w:pPr>
        <w:ind w:left="3117" w:hanging="360"/>
      </w:pPr>
      <w:rPr>
        <w:rFonts w:ascii="Courier New" w:hAnsi="Courier New" w:cs="Courier New" w:hint="default"/>
      </w:rPr>
    </w:lvl>
    <w:lvl w:ilvl="5" w:tplc="04090005" w:tentative="1">
      <w:start w:val="1"/>
      <w:numFmt w:val="bullet"/>
      <w:lvlText w:val=""/>
      <w:lvlJc w:val="left"/>
      <w:pPr>
        <w:ind w:left="3837" w:hanging="360"/>
      </w:pPr>
      <w:rPr>
        <w:rFonts w:ascii="Wingdings" w:hAnsi="Wingdings" w:hint="default"/>
      </w:rPr>
    </w:lvl>
    <w:lvl w:ilvl="6" w:tplc="04090001" w:tentative="1">
      <w:start w:val="1"/>
      <w:numFmt w:val="bullet"/>
      <w:lvlText w:val=""/>
      <w:lvlJc w:val="left"/>
      <w:pPr>
        <w:ind w:left="4557" w:hanging="360"/>
      </w:pPr>
      <w:rPr>
        <w:rFonts w:ascii="Symbol" w:hAnsi="Symbol" w:hint="default"/>
      </w:rPr>
    </w:lvl>
    <w:lvl w:ilvl="7" w:tplc="04090003" w:tentative="1">
      <w:start w:val="1"/>
      <w:numFmt w:val="bullet"/>
      <w:lvlText w:val="o"/>
      <w:lvlJc w:val="left"/>
      <w:pPr>
        <w:ind w:left="5277" w:hanging="360"/>
      </w:pPr>
      <w:rPr>
        <w:rFonts w:ascii="Courier New" w:hAnsi="Courier New" w:cs="Courier New" w:hint="default"/>
      </w:rPr>
    </w:lvl>
    <w:lvl w:ilvl="8" w:tplc="04090005" w:tentative="1">
      <w:start w:val="1"/>
      <w:numFmt w:val="bullet"/>
      <w:lvlText w:val=""/>
      <w:lvlJc w:val="left"/>
      <w:pPr>
        <w:ind w:left="5997" w:hanging="360"/>
      </w:pPr>
      <w:rPr>
        <w:rFonts w:ascii="Wingdings" w:hAnsi="Wingdings" w:hint="default"/>
      </w:rPr>
    </w:lvl>
  </w:abstractNum>
  <w:abstractNum w:abstractNumId="30">
    <w:nsid w:val="4CDC6ACB"/>
    <w:multiLevelType w:val="hybridMultilevel"/>
    <w:tmpl w:val="811C724C"/>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nsid w:val="4E920A82"/>
    <w:multiLevelType w:val="hybridMultilevel"/>
    <w:tmpl w:val="B360F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28629CF"/>
    <w:multiLevelType w:val="hybridMultilevel"/>
    <w:tmpl w:val="463276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5822BC7"/>
    <w:multiLevelType w:val="multilevel"/>
    <w:tmpl w:val="62A8290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57EF39D5"/>
    <w:multiLevelType w:val="hybridMultilevel"/>
    <w:tmpl w:val="BEA673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20C30E3"/>
    <w:multiLevelType w:val="hybridMultilevel"/>
    <w:tmpl w:val="751410E6"/>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6">
    <w:nsid w:val="65605E14"/>
    <w:multiLevelType w:val="hybridMultilevel"/>
    <w:tmpl w:val="C512CC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7A610D8"/>
    <w:multiLevelType w:val="hybridMultilevel"/>
    <w:tmpl w:val="E16C6B1A"/>
    <w:lvl w:ilvl="0" w:tplc="8278C5A6">
      <w:start w:val="8"/>
      <w:numFmt w:val="bullet"/>
      <w:lvlText w:val="-"/>
      <w:lvlJc w:val="left"/>
      <w:pPr>
        <w:ind w:left="763" w:hanging="360"/>
      </w:pPr>
      <w:rPr>
        <w:rFonts w:ascii="Simplified Arabic" w:eastAsia="Calibri" w:hAnsi="Simplified Arabic" w:cs="Simplified Arabic"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38">
    <w:nsid w:val="6BC36FD7"/>
    <w:multiLevelType w:val="hybridMultilevel"/>
    <w:tmpl w:val="A6FCB126"/>
    <w:lvl w:ilvl="0" w:tplc="AD342D0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9F49D8"/>
    <w:multiLevelType w:val="hybridMultilevel"/>
    <w:tmpl w:val="3996A124"/>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0B81AB5"/>
    <w:multiLevelType w:val="hybridMultilevel"/>
    <w:tmpl w:val="814CA0F0"/>
    <w:lvl w:ilvl="0" w:tplc="0409000F">
      <w:start w:val="1"/>
      <w:numFmt w:val="decimal"/>
      <w:lvlText w:val="%1."/>
      <w:lvlJc w:val="left"/>
      <w:pPr>
        <w:ind w:left="804" w:hanging="360"/>
      </w:pPr>
      <w:rPr>
        <w:rFonts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41">
    <w:nsid w:val="7584271F"/>
    <w:multiLevelType w:val="hybridMultilevel"/>
    <w:tmpl w:val="1772B8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FE0A4B"/>
    <w:multiLevelType w:val="hybridMultilevel"/>
    <w:tmpl w:val="4000AE9A"/>
    <w:lvl w:ilvl="0" w:tplc="9B3CC272">
      <w:start w:val="1"/>
      <w:numFmt w:val="bullet"/>
      <w:lvlText w:val="-"/>
      <w:lvlJc w:val="left"/>
      <w:pPr>
        <w:tabs>
          <w:tab w:val="num" w:pos="1440"/>
        </w:tabs>
        <w:ind w:left="1440" w:hanging="360"/>
      </w:pPr>
      <w:rPr>
        <w:rFonts w:ascii="Times New Roman" w:eastAsia="Times New Roman" w:hAnsi="Times New Roman" w:cs="Simplified Arabic"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8"/>
  </w:num>
  <w:num w:numId="3">
    <w:abstractNumId w:val="7"/>
  </w:num>
  <w:num w:numId="4">
    <w:abstractNumId w:val="6"/>
  </w:num>
  <w:num w:numId="5">
    <w:abstractNumId w:val="24"/>
  </w:num>
  <w:num w:numId="6">
    <w:abstractNumId w:val="29"/>
  </w:num>
  <w:num w:numId="7">
    <w:abstractNumId w:val="40"/>
  </w:num>
  <w:num w:numId="8">
    <w:abstractNumId w:val="17"/>
  </w:num>
  <w:num w:numId="9">
    <w:abstractNumId w:val="36"/>
  </w:num>
  <w:num w:numId="10">
    <w:abstractNumId w:val="9"/>
  </w:num>
  <w:num w:numId="11">
    <w:abstractNumId w:val="4"/>
  </w:num>
  <w:num w:numId="12">
    <w:abstractNumId w:val="20"/>
  </w:num>
  <w:num w:numId="13">
    <w:abstractNumId w:val="11"/>
  </w:num>
  <w:num w:numId="14">
    <w:abstractNumId w:val="1"/>
  </w:num>
  <w:num w:numId="15">
    <w:abstractNumId w:val="10"/>
  </w:num>
  <w:num w:numId="16">
    <w:abstractNumId w:val="19"/>
  </w:num>
  <w:num w:numId="17">
    <w:abstractNumId w:val="38"/>
  </w:num>
  <w:num w:numId="18">
    <w:abstractNumId w:val="28"/>
  </w:num>
  <w:num w:numId="19">
    <w:abstractNumId w:val="15"/>
  </w:num>
  <w:num w:numId="20">
    <w:abstractNumId w:val="12"/>
  </w:num>
  <w:num w:numId="21">
    <w:abstractNumId w:val="30"/>
  </w:num>
  <w:num w:numId="22">
    <w:abstractNumId w:val="23"/>
  </w:num>
  <w:num w:numId="23">
    <w:abstractNumId w:val="32"/>
  </w:num>
  <w:num w:numId="24">
    <w:abstractNumId w:val="21"/>
  </w:num>
  <w:num w:numId="25">
    <w:abstractNumId w:val="41"/>
  </w:num>
  <w:num w:numId="26">
    <w:abstractNumId w:val="37"/>
  </w:num>
  <w:num w:numId="27">
    <w:abstractNumId w:val="42"/>
  </w:num>
  <w:num w:numId="28">
    <w:abstractNumId w:val="27"/>
  </w:num>
  <w:num w:numId="29">
    <w:abstractNumId w:val="16"/>
  </w:num>
  <w:num w:numId="30">
    <w:abstractNumId w:val="13"/>
  </w:num>
  <w:num w:numId="31">
    <w:abstractNumId w:val="39"/>
  </w:num>
  <w:num w:numId="32">
    <w:abstractNumId w:val="26"/>
  </w:num>
  <w:num w:numId="33">
    <w:abstractNumId w:val="3"/>
  </w:num>
  <w:num w:numId="34">
    <w:abstractNumId w:val="14"/>
  </w:num>
  <w:num w:numId="35">
    <w:abstractNumId w:val="2"/>
  </w:num>
  <w:num w:numId="36">
    <w:abstractNumId w:val="5"/>
  </w:num>
  <w:num w:numId="37">
    <w:abstractNumId w:val="31"/>
  </w:num>
  <w:num w:numId="38">
    <w:abstractNumId w:val="22"/>
  </w:num>
  <w:num w:numId="39">
    <w:abstractNumId w:val="8"/>
  </w:num>
  <w:num w:numId="40">
    <w:abstractNumId w:val="35"/>
  </w:num>
  <w:num w:numId="41">
    <w:abstractNumId w:val="33"/>
  </w:num>
  <w:num w:numId="42">
    <w:abstractNumId w:val="25"/>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153"/>
        <w:tab w:val="right" w:pos="830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153"/>
        <w:tab w:val="right" w:pos="830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aliases w:val="عنوان رئيسي,سرد الفقراتCxSpLast,Table of contents numbered,List Paragraph in table,Bullet List,Paragraph,Bullet Points,Liste Paragraf,Liststycke SKL,Citation List,Bullet OFM,Renkli Liste - Vurgu 11,Liste Paragraf1,Lettre d'introduction"/>
    <w:basedOn w:val="Normal"/>
    <w:link w:val="ListParagraphChar"/>
    <w:uiPriority w:val="34"/>
    <w:qFormat/>
    <w:pPr>
      <w:ind w:left="720"/>
      <w:contextualSpacing/>
    </w:pPr>
  </w:style>
  <w:style w:type="paragraph" w:styleId="FootnoteText">
    <w:name w:val="footnote text"/>
    <w:basedOn w:val="Normal"/>
    <w:link w:val="FootnoteTextChar"/>
    <w:unhideWhenUsed/>
    <w:pPr>
      <w:spacing w:after="0" w:line="240" w:lineRule="auto"/>
    </w:pPr>
    <w:rPr>
      <w:sz w:val="20"/>
      <w:szCs w:val="20"/>
    </w:rPr>
  </w:style>
  <w:style w:type="character" w:customStyle="1" w:styleId="FootnoteTextChar">
    <w:name w:val="Footnote Text Char"/>
    <w:basedOn w:val="DefaultParagraphFont"/>
    <w:link w:val="FootnoteText"/>
    <w:rPr>
      <w:sz w:val="20"/>
      <w:szCs w:val="20"/>
    </w:rPr>
  </w:style>
  <w:style w:type="character" w:styleId="FootnoteReference">
    <w:name w:val="footnote reference"/>
    <w:basedOn w:val="DefaultParagraphFont"/>
    <w:unhideWhenUsed/>
    <w:rPr>
      <w:vertAlign w:val="superscri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ListParagraphChar">
    <w:name w:val="List Paragraph Char"/>
    <w:aliases w:val="عنوان رئيسي Char,سرد الفقراتCxSpLast Char,Table of contents numbered Char,List Paragraph in table Char,Bullet List Char,Paragraph Char,Bullet Points Char,Liste Paragraf Char,Liststycke SKL Char,Citation List Char,Bullet OFM Char"/>
    <w:basedOn w:val="DefaultParagraphFont"/>
    <w:link w:val="ListParagraph"/>
    <w:uiPriority w:val="34"/>
    <w:qFormat/>
  </w:style>
  <w:style w:type="table" w:customStyle="1" w:styleId="TableGrid14">
    <w:name w:val="Table Grid14"/>
    <w:basedOn w:val="TableNormal"/>
    <w:next w:val="TableGrid"/>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153"/>
        <w:tab w:val="right" w:pos="830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153"/>
        <w:tab w:val="right" w:pos="830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aliases w:val="عنوان رئيسي,سرد الفقراتCxSpLast,Table of contents numbered,List Paragraph in table,Bullet List,Paragraph,Bullet Points,Liste Paragraf,Liststycke SKL,Citation List,Bullet OFM,Renkli Liste - Vurgu 11,Liste Paragraf1,Lettre d'introduction"/>
    <w:basedOn w:val="Normal"/>
    <w:link w:val="ListParagraphChar"/>
    <w:uiPriority w:val="34"/>
    <w:qFormat/>
    <w:pPr>
      <w:ind w:left="720"/>
      <w:contextualSpacing/>
    </w:pPr>
  </w:style>
  <w:style w:type="paragraph" w:styleId="FootnoteText">
    <w:name w:val="footnote text"/>
    <w:basedOn w:val="Normal"/>
    <w:link w:val="FootnoteTextChar"/>
    <w:unhideWhenUsed/>
    <w:pPr>
      <w:spacing w:after="0" w:line="240" w:lineRule="auto"/>
    </w:pPr>
    <w:rPr>
      <w:sz w:val="20"/>
      <w:szCs w:val="20"/>
    </w:rPr>
  </w:style>
  <w:style w:type="character" w:customStyle="1" w:styleId="FootnoteTextChar">
    <w:name w:val="Footnote Text Char"/>
    <w:basedOn w:val="DefaultParagraphFont"/>
    <w:link w:val="FootnoteText"/>
    <w:rPr>
      <w:sz w:val="20"/>
      <w:szCs w:val="20"/>
    </w:rPr>
  </w:style>
  <w:style w:type="character" w:styleId="FootnoteReference">
    <w:name w:val="footnote reference"/>
    <w:basedOn w:val="DefaultParagraphFont"/>
    <w:unhideWhenUsed/>
    <w:rPr>
      <w:vertAlign w:val="superscri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ListParagraphChar">
    <w:name w:val="List Paragraph Char"/>
    <w:aliases w:val="عنوان رئيسي Char,سرد الفقراتCxSpLast Char,Table of contents numbered Char,List Paragraph in table Char,Bullet List Char,Paragraph Char,Bullet Points Char,Liste Paragraf Char,Liststycke SKL Char,Citation List Char,Bullet OFM Char"/>
    <w:basedOn w:val="DefaultParagraphFont"/>
    <w:link w:val="ListParagraph"/>
    <w:uiPriority w:val="34"/>
    <w:qFormat/>
  </w:style>
  <w:style w:type="table" w:customStyle="1" w:styleId="TableGrid14">
    <w:name w:val="Table Grid14"/>
    <w:basedOn w:val="TableNormal"/>
    <w:next w:val="TableGrid"/>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039571">
      <w:bodyDiv w:val="1"/>
      <w:marLeft w:val="0"/>
      <w:marRight w:val="0"/>
      <w:marTop w:val="0"/>
      <w:marBottom w:val="0"/>
      <w:divBdr>
        <w:top w:val="none" w:sz="0" w:space="0" w:color="auto"/>
        <w:left w:val="none" w:sz="0" w:space="0" w:color="auto"/>
        <w:bottom w:val="none" w:sz="0" w:space="0" w:color="auto"/>
        <w:right w:val="none" w:sz="0" w:space="0" w:color="auto"/>
      </w:divBdr>
    </w:div>
    <w:div w:id="1192692668">
      <w:bodyDiv w:val="1"/>
      <w:marLeft w:val="0"/>
      <w:marRight w:val="0"/>
      <w:marTop w:val="0"/>
      <w:marBottom w:val="0"/>
      <w:divBdr>
        <w:top w:val="none" w:sz="0" w:space="0" w:color="auto"/>
        <w:left w:val="none" w:sz="0" w:space="0" w:color="auto"/>
        <w:bottom w:val="none" w:sz="0" w:space="0" w:color="auto"/>
        <w:right w:val="none" w:sz="0" w:space="0" w:color="auto"/>
      </w:divBdr>
    </w:div>
    <w:div w:id="146932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البعدى</c:v>
                </c:pt>
              </c:strCache>
            </c:strRef>
          </c:tx>
          <c:spPr>
            <a:solidFill>
              <a:schemeClr val="accent1"/>
            </a:solidFill>
            <a:ln>
              <a:noFill/>
            </a:ln>
            <a:effectLst/>
            <a:sp3d/>
          </c:spPr>
          <c:invertIfNegative val="0"/>
          <c:dLbls>
            <c:dLbl>
              <c:idx val="0"/>
              <c:layout>
                <c:manualLayout>
                  <c:x val="1.8518518518518497E-2"/>
                  <c:y val="-1.984126984126991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B92-4DFD-9348-B5190474AF9E}"/>
                </c:ext>
              </c:extLst>
            </c:dLbl>
            <c:dLbl>
              <c:idx val="1"/>
              <c:layout>
                <c:manualLayout>
                  <c:x val="2.7777777777777776E-2"/>
                  <c:y val="-1.58730158730158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B92-4DFD-9348-B5190474AF9E}"/>
                </c:ext>
              </c:extLst>
            </c:dLbl>
            <c:dLbl>
              <c:idx val="2"/>
              <c:layout>
                <c:manualLayout>
                  <c:x val="2.0833333333333332E-2"/>
                  <c:y val="-1.984126984126991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B92-4DFD-9348-B5190474AF9E}"/>
                </c:ext>
              </c:extLst>
            </c:dLbl>
            <c:dLbl>
              <c:idx val="3"/>
              <c:layout>
                <c:manualLayout>
                  <c:x val="1.1574074074074073E-2"/>
                  <c:y val="-7.936507936507936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B92-4DFD-9348-B5190474AF9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طبيعة مادة الفلسفة وأهميتها</c:v>
                </c:pt>
                <c:pt idx="1">
                  <c:v>معلم المواد الفلسفية</c:v>
                </c:pt>
                <c:pt idx="2">
                  <c:v>طرق تدريس المواد الفلسفية</c:v>
                </c:pt>
                <c:pt idx="3">
                  <c:v>المقياس ككل</c:v>
                </c:pt>
              </c:strCache>
            </c:strRef>
          </c:cat>
          <c:val>
            <c:numRef>
              <c:f>Sheet1!$B$2:$B$5</c:f>
              <c:numCache>
                <c:formatCode>General</c:formatCode>
                <c:ptCount val="4"/>
                <c:pt idx="0">
                  <c:v>75.77</c:v>
                </c:pt>
                <c:pt idx="1">
                  <c:v>69.8</c:v>
                </c:pt>
                <c:pt idx="2">
                  <c:v>67.77</c:v>
                </c:pt>
                <c:pt idx="3">
                  <c:v>213.33</c:v>
                </c:pt>
              </c:numCache>
            </c:numRef>
          </c:val>
          <c:extLst xmlns:c16r2="http://schemas.microsoft.com/office/drawing/2015/06/chart">
            <c:ext xmlns:c16="http://schemas.microsoft.com/office/drawing/2014/chart" uri="{C3380CC4-5D6E-409C-BE32-E72D297353CC}">
              <c16:uniqueId val="{00000004-4B92-4DFD-9348-B5190474AF9E}"/>
            </c:ext>
          </c:extLst>
        </c:ser>
        <c:ser>
          <c:idx val="1"/>
          <c:order val="1"/>
          <c:tx>
            <c:strRef>
              <c:f>Sheet1!$C$1</c:f>
              <c:strCache>
                <c:ptCount val="1"/>
                <c:pt idx="0">
                  <c:v>القبلى</c:v>
                </c:pt>
              </c:strCache>
            </c:strRef>
          </c:tx>
          <c:spPr>
            <a:solidFill>
              <a:schemeClr val="accent2"/>
            </a:solidFill>
            <a:ln>
              <a:noFill/>
            </a:ln>
            <a:effectLst/>
            <a:sp3d/>
          </c:spPr>
          <c:invertIfNegative val="0"/>
          <c:dLbls>
            <c:dLbl>
              <c:idx val="0"/>
              <c:layout>
                <c:manualLayout>
                  <c:x val="2.3148148148148147E-2"/>
                  <c:y val="-1.984126984126998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B92-4DFD-9348-B5190474AF9E}"/>
                </c:ext>
              </c:extLst>
            </c:dLbl>
            <c:dLbl>
              <c:idx val="1"/>
              <c:layout>
                <c:manualLayout>
                  <c:x val="3.2407407407407406E-2"/>
                  <c:y val="-1.98412698412698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4B92-4DFD-9348-B5190474AF9E}"/>
                </c:ext>
              </c:extLst>
            </c:dLbl>
            <c:dLbl>
              <c:idx val="2"/>
              <c:layout>
                <c:manualLayout>
                  <c:x val="1.8518518518518517E-2"/>
                  <c:y val="-2.777793400824904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5.5439814814814817E-2"/>
                      <c:h val="5.549618797650293E-2"/>
                    </c:manualLayout>
                  </c15:layout>
                </c:ext>
                <c:ext xmlns:c16="http://schemas.microsoft.com/office/drawing/2014/chart" uri="{C3380CC4-5D6E-409C-BE32-E72D297353CC}">
                  <c16:uniqueId val="{00000007-4B92-4DFD-9348-B5190474AF9E}"/>
                </c:ext>
              </c:extLst>
            </c:dLbl>
            <c:dLbl>
              <c:idx val="3"/>
              <c:layout>
                <c:manualLayout>
                  <c:x val="3.9351851851851853E-2"/>
                  <c:y val="-4.76190476190476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4B92-4DFD-9348-B5190474AF9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طبيعة مادة الفلسفة وأهميتها</c:v>
                </c:pt>
                <c:pt idx="1">
                  <c:v>معلم المواد الفلسفية</c:v>
                </c:pt>
                <c:pt idx="2">
                  <c:v>طرق تدريس المواد الفلسفية</c:v>
                </c:pt>
                <c:pt idx="3">
                  <c:v>المقياس ككل</c:v>
                </c:pt>
              </c:strCache>
            </c:strRef>
          </c:cat>
          <c:val>
            <c:numRef>
              <c:f>Sheet1!$C$2:$C$5</c:f>
              <c:numCache>
                <c:formatCode>General</c:formatCode>
                <c:ptCount val="4"/>
                <c:pt idx="0">
                  <c:v>43.63</c:v>
                </c:pt>
                <c:pt idx="1">
                  <c:v>40.729999999999997</c:v>
                </c:pt>
                <c:pt idx="2">
                  <c:v>38.1</c:v>
                </c:pt>
                <c:pt idx="3">
                  <c:v>122.47</c:v>
                </c:pt>
              </c:numCache>
            </c:numRef>
          </c:val>
          <c:extLst xmlns:c16r2="http://schemas.microsoft.com/office/drawing/2015/06/chart">
            <c:ext xmlns:c16="http://schemas.microsoft.com/office/drawing/2014/chart" uri="{C3380CC4-5D6E-409C-BE32-E72D297353CC}">
              <c16:uniqueId val="{00000009-4B92-4DFD-9348-B5190474AF9E}"/>
            </c:ext>
          </c:extLst>
        </c:ser>
        <c:dLbls>
          <c:showLegendKey val="0"/>
          <c:showVal val="1"/>
          <c:showCatName val="0"/>
          <c:showSerName val="0"/>
          <c:showPercent val="0"/>
          <c:showBubbleSize val="0"/>
        </c:dLbls>
        <c:gapWidth val="150"/>
        <c:shape val="box"/>
        <c:axId val="205585408"/>
        <c:axId val="205787904"/>
        <c:axId val="0"/>
      </c:bar3DChart>
      <c:catAx>
        <c:axId val="2055854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205787904"/>
        <c:crosses val="autoZero"/>
        <c:auto val="1"/>
        <c:lblAlgn val="ctr"/>
        <c:lblOffset val="100"/>
        <c:noMultiLvlLbl val="0"/>
      </c:catAx>
      <c:valAx>
        <c:axId val="205787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205585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8DF7D-55F9-48CF-AE2F-6B46A5C62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6621</Words>
  <Characters>37743</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alamia</dc:creator>
  <cp:lastModifiedBy>Unit</cp:lastModifiedBy>
  <cp:revision>2</cp:revision>
  <cp:lastPrinted>2023-12-11T10:27:00Z</cp:lastPrinted>
  <dcterms:created xsi:type="dcterms:W3CDTF">2026-08-13T08:42:00Z</dcterms:created>
  <dcterms:modified xsi:type="dcterms:W3CDTF">2026-08-13T08:42:00Z</dcterms:modified>
</cp:coreProperties>
</file>